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部分：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采购内容及</w:t>
      </w:r>
      <w:r>
        <w:rPr>
          <w:rFonts w:hint="eastAsia" w:ascii="黑体" w:hAnsi="黑体" w:eastAsia="黑体" w:cs="黑体"/>
          <w:sz w:val="32"/>
          <w:szCs w:val="32"/>
        </w:rPr>
        <w:t>技术要求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</w:t>
      </w:r>
      <w:r>
        <w:rPr>
          <w:rFonts w:hint="eastAsia" w:ascii="宋体" w:hAnsi="宋体"/>
          <w:sz w:val="32"/>
          <w:szCs w:val="32"/>
        </w:rPr>
        <w:t>动态心电记录器（</w:t>
      </w:r>
      <w:r>
        <w:rPr>
          <w:rFonts w:hint="eastAsia" w:ascii="宋体" w:hAnsi="宋体"/>
          <w:sz w:val="32"/>
          <w:szCs w:val="32"/>
          <w:lang w:val="en-US" w:eastAsia="zh-CN"/>
        </w:rPr>
        <w:t>4台</w:t>
      </w:r>
      <w:r>
        <w:rPr>
          <w:rFonts w:hint="eastAsia" w:ascii="宋体" w:hAnsi="宋体"/>
          <w:sz w:val="32"/>
          <w:szCs w:val="32"/>
        </w:rPr>
        <w:t>）技术参数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1、普通心电采集≥4000点每秒采样率，起搏通道采样率≥10000。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2、记录器具备回放技术。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3、12导联同步采集（兼容3导联采集）。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4、电池待机时间≥24小时。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5、具备晚电位数据采集。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6、具备向量心电数据采集。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二、动态血压记录器（3台）技术参数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1、动态血压监测仪符合ISO13485质量体系认证。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2、电池工作时间≥24小时。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3、5,10,15,20,30,45,60,90,120min等九种监测间隔可选。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4、测量方法：震荡测量法。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5、加压释压方式：自动加压、自动排气。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6、具备过压保护，当袖带内压力≥40kPa（300mmHg）时，袖带能够自动释压。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7、具备掉电数据保护，记录过程中取掉电池，不会丢失已经记录的数据。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8、袖带气密性，1分钟内压力下降值≤4mmHg。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9、高精度血压测量，误差≤±3mmHg。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10、精确的心率测量功能，误差≤±5%。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  <w:lang w:eastAsia="zh-CN"/>
        </w:rPr>
        <w:t>、具备自动重测功能，对错误数据可进行自动重测。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、彩色液晶屏，显示收缩压、舒张压、脉搏及工作状态等信息。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  <w:lang w:eastAsia="zh-CN"/>
        </w:rPr>
        <w:t>、内置存储器，USB数据线回放。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lang w:eastAsia="zh-CN"/>
        </w:rPr>
        <w:t>、具备加速度传感器技术，能够测定患者体位状态以及运动强度。</w:t>
      </w:r>
    </w:p>
    <w:p>
      <w:pPr>
        <w:spacing w:line="520" w:lineRule="exact"/>
        <w:ind w:firstLine="640" w:firstLineChars="200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15、配置品牌电脑1台，彩色喷墨一体机1台。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第二部分：商务要求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1、质保期不少于1年。</w:t>
      </w:r>
    </w:p>
    <w:p>
      <w:pPr>
        <w:spacing w:line="52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装订成册的简易标书内容应包括投标公司资质、生产厂家及产品资质，须提供投标产品的彩页，技术参数资料，材质证明，产品售后服务承诺（投标人依据产品特性和需求自拟售后服务方案，含装机、使用培训等），供销合同以及投标厂商认为必须提供的其他资料、文件、证书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部分：合同专用条款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陕西中医药大学第二附属医院院内。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 w:cs="宋体"/>
          <w:b/>
          <w:sz w:val="24"/>
        </w:rPr>
      </w:pPr>
    </w:p>
    <w:p>
      <w:pPr>
        <w:pStyle w:val="2"/>
        <w:jc w:val="center"/>
        <w:rPr>
          <w:rFonts w:hint="eastAsia" w:ascii="宋体" w:hAnsi="宋体"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报价一览表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096"/>
        <w:gridCol w:w="2096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谈判总报价</w:t>
            </w:r>
          </w:p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（元）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交货</w:t>
            </w:r>
            <w:r>
              <w:rPr>
                <w:rFonts w:hint="eastAsia" w:ascii="宋体" w:hAnsi="宋体" w:cs="宋体"/>
                <w:sz w:val="24"/>
              </w:rPr>
              <w:t>期</w:t>
            </w: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质保期</w:t>
            </w:r>
          </w:p>
        </w:tc>
        <w:tc>
          <w:tcPr>
            <w:tcW w:w="132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214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3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21" w:type="pct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both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谈判总报价：（大写）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人民币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元整；</w:t>
            </w:r>
            <w:r>
              <w:rPr>
                <w:rFonts w:hint="eastAsia" w:ascii="宋体" w:hAnsi="宋体" w:cs="宋体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（小写）：</w:t>
            </w:r>
            <w:r>
              <w:rPr>
                <w:rFonts w:hint="eastAsia" w:ascii="宋体" w:hAnsi="宋体" w:cs="宋体"/>
                <w:sz w:val="24"/>
              </w:rPr>
              <w:t xml:space="preserve">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insoku w:val="0"/>
              <w:spacing w:line="560" w:lineRule="exact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备注：表内报价内容以元为单位，保留小数点后两位。</w:t>
            </w:r>
          </w:p>
        </w:tc>
      </w:tr>
    </w:tbl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谈判供应商（公章）：                         </w:t>
      </w: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tabs>
          <w:tab w:val="left" w:pos="3045"/>
        </w:tabs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法定代表人或被授权人：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（签字或盖章）</w:t>
      </w: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kinsoku w:val="0"/>
        <w:spacing w:line="5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rPr>
          <w:rFonts w:hint="eastAsia" w:ascii="宋体" w:hAnsi="宋体"/>
          <w:sz w:val="32"/>
          <w:szCs w:val="32"/>
        </w:rPr>
      </w:pPr>
    </w:p>
    <w:p>
      <w:pPr>
        <w:pStyle w:val="2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</w:rPr>
        <w:t>谈判分项报价表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5"/>
        <w:gridCol w:w="536"/>
        <w:gridCol w:w="797"/>
        <w:gridCol w:w="723"/>
        <w:gridCol w:w="849"/>
        <w:gridCol w:w="1806"/>
        <w:gridCol w:w="960"/>
        <w:gridCol w:w="1175"/>
        <w:gridCol w:w="11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8" w:hRule="atLeast"/>
          <w:jc w:val="center"/>
        </w:trPr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Cs w:val="24"/>
              </w:rPr>
              <w:t>产品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费用</w:t>
            </w:r>
          </w:p>
        </w:tc>
        <w:tc>
          <w:tcPr>
            <w:tcW w:w="5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品牌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型号和规格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原产地及制造厂名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单价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（元）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总价</w:t>
            </w:r>
          </w:p>
          <w:p>
            <w:pPr>
              <w:spacing w:after="120"/>
              <w:jc w:val="center"/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highlight w:val="none"/>
              </w:rPr>
              <w:t>（元）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87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327" w:beforeLines="100"/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……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谈判</w:t>
            </w:r>
            <w:r>
              <w:rPr>
                <w:rFonts w:hint="eastAsia" w:ascii="宋体" w:hAnsi="宋体" w:eastAsia="宋体" w:cs="宋体"/>
                <w:szCs w:val="24"/>
              </w:rPr>
              <w:t>总报价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大写：                           小写：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备注</w:t>
            </w:r>
          </w:p>
        </w:tc>
        <w:tc>
          <w:tcPr>
            <w:tcW w:w="669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63" w:beforeLines="50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Cs w:val="24"/>
              </w:rPr>
              <w:t>保留小数点后两位。</w:t>
            </w:r>
          </w:p>
        </w:tc>
      </w:tr>
    </w:tbl>
    <w:p>
      <w:pPr>
        <w:spacing w:line="312" w:lineRule="auto"/>
        <w:ind w:right="540" w:rightChars="257" w:firstLine="240" w:firstLineChars="100"/>
        <w:jc w:val="left"/>
        <w:rPr>
          <w:color w:val="auto"/>
          <w:sz w:val="24"/>
          <w:highlight w:val="none"/>
        </w:rPr>
      </w:pPr>
    </w:p>
    <w:p>
      <w:pPr>
        <w:spacing w:line="312" w:lineRule="auto"/>
        <w:ind w:right="540" w:rightChars="257" w:firstLine="240" w:firstLineChars="100"/>
        <w:jc w:val="left"/>
        <w:rPr>
          <w:rFonts w:hint="eastAsia"/>
          <w:color w:val="auto"/>
          <w:sz w:val="24"/>
          <w:highlight w:val="none"/>
          <w:u w:val="single"/>
        </w:rPr>
      </w:pPr>
      <w:r>
        <w:rPr>
          <w:color w:val="auto"/>
          <w:sz w:val="24"/>
          <w:highlight w:val="none"/>
        </w:rPr>
        <w:t>供应商名称：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  <w:r>
        <w:rPr>
          <w:color w:val="auto"/>
          <w:sz w:val="24"/>
          <w:highlight w:val="none"/>
          <w:u w:val="single"/>
        </w:rPr>
        <w:t>（</w:t>
      </w:r>
      <w:r>
        <w:rPr>
          <w:rFonts w:hint="eastAsia"/>
          <w:color w:val="auto"/>
          <w:sz w:val="24"/>
          <w:highlight w:val="none"/>
          <w:u w:val="single"/>
        </w:rPr>
        <w:t>加盖单位</w:t>
      </w:r>
      <w:r>
        <w:rPr>
          <w:color w:val="auto"/>
          <w:sz w:val="24"/>
          <w:highlight w:val="none"/>
          <w:u w:val="single"/>
        </w:rPr>
        <w:t>公章）</w:t>
      </w:r>
      <w:r>
        <w:rPr>
          <w:rFonts w:hint="eastAsia"/>
          <w:color w:val="auto"/>
          <w:sz w:val="24"/>
          <w:highlight w:val="none"/>
          <w:u w:val="single"/>
        </w:rPr>
        <w:t xml:space="preserve">      </w:t>
      </w:r>
    </w:p>
    <w:p>
      <w:pPr>
        <w:spacing w:line="312" w:lineRule="auto"/>
        <w:ind w:right="540" w:rightChars="257"/>
        <w:jc w:val="left"/>
        <w:rPr>
          <w:color w:val="auto"/>
          <w:sz w:val="24"/>
          <w:highlight w:val="none"/>
        </w:rPr>
      </w:pPr>
    </w:p>
    <w:p>
      <w:pPr>
        <w:spacing w:line="312" w:lineRule="auto"/>
        <w:ind w:right="540" w:rightChars="257"/>
        <w:jc w:val="left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 xml:space="preserve">  </w:t>
      </w:r>
      <w:r>
        <w:rPr>
          <w:rFonts w:hint="eastAsia"/>
          <w:color w:val="auto"/>
          <w:sz w:val="24"/>
          <w:highlight w:val="none"/>
          <w:lang w:eastAsia="zh-CN"/>
        </w:rPr>
        <w:t>法定代表人</w:t>
      </w:r>
      <w:r>
        <w:rPr>
          <w:rFonts w:hint="eastAsia"/>
          <w:color w:val="auto"/>
          <w:sz w:val="24"/>
          <w:highlight w:val="none"/>
          <w:lang w:val="en-US" w:eastAsia="zh-CN"/>
        </w:rPr>
        <w:t>或</w:t>
      </w:r>
      <w:r>
        <w:rPr>
          <w:rFonts w:hint="eastAsia"/>
          <w:color w:val="auto"/>
          <w:sz w:val="24"/>
          <w:highlight w:val="none"/>
          <w:lang w:eastAsia="zh-CN"/>
        </w:rPr>
        <w:t>被授权人</w:t>
      </w:r>
      <w:r>
        <w:rPr>
          <w:rFonts w:hint="eastAsia"/>
          <w:color w:val="auto"/>
          <w:sz w:val="24"/>
          <w:highlight w:val="none"/>
        </w:rPr>
        <w:t>：</w:t>
      </w:r>
      <w:r>
        <w:rPr>
          <w:rFonts w:hint="eastAsia"/>
          <w:color w:val="auto"/>
          <w:sz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/>
          <w:color w:val="auto"/>
          <w:sz w:val="24"/>
          <w:highlight w:val="none"/>
          <w:lang w:val="en-US" w:eastAsia="zh-CN"/>
        </w:rPr>
        <w:t>（</w:t>
      </w:r>
      <w:r>
        <w:rPr>
          <w:rFonts w:hint="eastAsia"/>
          <w:color w:val="auto"/>
          <w:sz w:val="24"/>
          <w:highlight w:val="none"/>
        </w:rPr>
        <w:t>签字</w:t>
      </w:r>
      <w:r>
        <w:rPr>
          <w:rFonts w:hint="eastAsia"/>
          <w:color w:val="auto"/>
          <w:sz w:val="24"/>
          <w:highlight w:val="none"/>
          <w:lang w:eastAsia="zh-CN"/>
        </w:rPr>
        <w:t>或盖章</w:t>
      </w:r>
      <w:r>
        <w:rPr>
          <w:rFonts w:hint="eastAsia"/>
          <w:color w:val="auto"/>
          <w:sz w:val="24"/>
          <w:highlight w:val="none"/>
          <w:lang w:val="en-US" w:eastAsia="zh-CN"/>
        </w:rPr>
        <w:t>）</w:t>
      </w: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/>
          <w:color w:val="auto"/>
          <w:sz w:val="24"/>
          <w:highlight w:val="none"/>
          <w:lang w:val="en-US" w:eastAsia="zh-CN"/>
        </w:rPr>
      </w:pPr>
    </w:p>
    <w:p>
      <w:pPr>
        <w:pStyle w:val="4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Toc18201"/>
      <w:r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技术规格响应表</w:t>
      </w:r>
      <w:bookmarkEnd w:id="0"/>
    </w:p>
    <w:tbl>
      <w:tblPr>
        <w:tblStyle w:val="5"/>
        <w:tblW w:w="8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2"/>
        <w:gridCol w:w="2631"/>
        <w:gridCol w:w="2988"/>
        <w:gridCol w:w="1096"/>
        <w:gridCol w:w="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631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技术</w:t>
            </w:r>
            <w:r>
              <w:rPr>
                <w:rFonts w:hint="eastAsia"/>
                <w:color w:val="auto"/>
                <w:sz w:val="24"/>
                <w:highlight w:val="none"/>
              </w:rPr>
              <w:t>规格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（参数）</w:t>
            </w:r>
          </w:p>
        </w:tc>
        <w:tc>
          <w:tcPr>
            <w:tcW w:w="2988" w:type="dxa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响应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产品技术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 xml:space="preserve">规格 </w:t>
            </w:r>
          </w:p>
        </w:tc>
        <w:tc>
          <w:tcPr>
            <w:tcW w:w="1096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highlight w:val="none"/>
              </w:rPr>
              <w:t>偏离说明</w:t>
            </w:r>
          </w:p>
        </w:tc>
        <w:tc>
          <w:tcPr>
            <w:tcW w:w="879" w:type="dxa"/>
            <w:tcBorders>
              <w:bottom w:val="nil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0" w:hRule="atLeast"/>
          <w:jc w:val="center"/>
        </w:trPr>
        <w:tc>
          <w:tcPr>
            <w:tcW w:w="822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3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8" w:hRule="atLeast"/>
          <w:jc w:val="center"/>
        </w:trPr>
        <w:tc>
          <w:tcPr>
            <w:tcW w:w="822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631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2988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096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879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</w:tbl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  <w:lang w:eastAsia="zh-CN"/>
        </w:rPr>
      </w:pP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被授权人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）</w:t>
      </w: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公      章：</w:t>
      </w: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rPr>
          <w:rFonts w:hint="eastAsia" w:ascii="宋体" w:hAnsi="宋体"/>
          <w:color w:val="auto"/>
          <w:sz w:val="24"/>
          <w:highlight w:val="none"/>
        </w:rPr>
      </w:pPr>
    </w:p>
    <w:p>
      <w:pPr>
        <w:pStyle w:val="2"/>
        <w:jc w:val="center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1" w:name="_Toc30987"/>
      <w:r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t>商务及合同主要条款响应/偏离表</w:t>
      </w:r>
      <w:bookmarkEnd w:id="1"/>
    </w:p>
    <w:tbl>
      <w:tblPr>
        <w:tblStyle w:val="5"/>
        <w:tblW w:w="7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2199"/>
        <w:gridCol w:w="2624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466" w:type="dxa"/>
            <w:noWrap w:val="0"/>
            <w:vAlign w:val="center"/>
          </w:tcPr>
          <w:p>
            <w:pPr>
              <w:pStyle w:val="8"/>
              <w:spacing w:line="560" w:lineRule="exac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21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谈判要求的商务及合同主要条款</w:t>
            </w:r>
          </w:p>
        </w:tc>
        <w:tc>
          <w:tcPr>
            <w:tcW w:w="2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谈判响应的商务及合同主要条款</w:t>
            </w:r>
          </w:p>
        </w:tc>
        <w:tc>
          <w:tcPr>
            <w:tcW w:w="23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left="-120" w:leftChars="-57"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center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466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199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624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  <w:tc>
          <w:tcPr>
            <w:tcW w:w="2323" w:type="dxa"/>
            <w:noWrap w:val="0"/>
            <w:vAlign w:val="top"/>
          </w:tcPr>
          <w:p>
            <w:pPr>
              <w:pStyle w:val="8"/>
              <w:spacing w:line="560" w:lineRule="exact"/>
              <w:ind w:firstLine="480" w:firstLineChars="200"/>
              <w:rPr>
                <w:rFonts w:hint="eastAsia" w:hAnsi="宋体" w:cs="宋体"/>
                <w:sz w:val="24"/>
                <w:szCs w:val="24"/>
              </w:rPr>
            </w:pPr>
          </w:p>
        </w:tc>
      </w:tr>
    </w:tbl>
    <w:p>
      <w:pPr>
        <w:pStyle w:val="2"/>
        <w:jc w:val="center"/>
        <w:rPr>
          <w:rFonts w:hint="eastAsia" w:ascii="宋体" w:hAnsi="宋体" w:cs="宋体" w:eastAsiaTheme="minorEastAsia"/>
          <w:b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tabs>
          <w:tab w:val="left" w:pos="3045"/>
        </w:tabs>
        <w:spacing w:line="280" w:lineRule="exact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  <w:lang w:eastAsia="zh-CN"/>
        </w:rPr>
        <w:t>法定代表人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或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被授权人</w:t>
      </w:r>
      <w:r>
        <w:rPr>
          <w:rFonts w:hint="eastAsia" w:ascii="宋体" w:hAnsi="宋体"/>
          <w:color w:val="auto"/>
          <w:sz w:val="24"/>
          <w:highlight w:val="none"/>
        </w:rPr>
        <w:t>：</w:t>
      </w:r>
      <w:r>
        <w:rPr>
          <w:rFonts w:hint="eastAsia" w:ascii="宋体" w:hAnsi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（</w:t>
      </w:r>
      <w:r>
        <w:rPr>
          <w:rFonts w:hint="eastAsia" w:ascii="宋体" w:hAnsi="宋体"/>
          <w:color w:val="auto"/>
          <w:sz w:val="24"/>
          <w:highlight w:val="none"/>
        </w:rPr>
        <w:t>签字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或盖章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）</w:t>
      </w:r>
    </w:p>
    <w:p>
      <w:pPr>
        <w:tabs>
          <w:tab w:val="left" w:pos="3045"/>
        </w:tabs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rPr>
          <w:rFonts w:hint="eastAsia" w:ascii="宋体" w:hAnsi="宋体"/>
          <w:color w:val="auto"/>
          <w:sz w:val="24"/>
          <w:highlight w:val="none"/>
        </w:rPr>
      </w:pPr>
    </w:p>
    <w:p>
      <w:pPr>
        <w:spacing w:line="280" w:lineRule="exact"/>
        <w:ind w:firstLine="240" w:firstLineChars="10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公      章：</w:t>
      </w:r>
    </w:p>
    <w:p>
      <w:pPr>
        <w:pStyle w:val="2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2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2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2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</w:p>
    <w:p>
      <w:pPr>
        <w:pStyle w:val="2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NjVmNTE4ZTI0ZGYyYWI4OThjZjFmMWM5ZTZlZWQifQ=="/>
  </w:docVars>
  <w:rsids>
    <w:rsidRoot w:val="00CD4248"/>
    <w:rsid w:val="00CD4248"/>
    <w:rsid w:val="06C318C0"/>
    <w:rsid w:val="28523B62"/>
    <w:rsid w:val="55ED35EA"/>
    <w:rsid w:val="58AE5F37"/>
    <w:rsid w:val="69EB6AF7"/>
    <w:rsid w:val="6BCA5EF4"/>
    <w:rsid w:val="753959E8"/>
    <w:rsid w:val="7FE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  <w:style w:type="paragraph" w:styleId="4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2231</Words>
  <Characters>2312</Characters>
  <Lines>0</Lines>
  <Paragraphs>0</Paragraphs>
  <TotalTime>0</TotalTime>
  <ScaleCrop>false</ScaleCrop>
  <LinksUpToDate>false</LinksUpToDate>
  <CharactersWithSpaces>2445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2020-08-03T02:39:00Z</dcterms:created>
  <dc:creator>rsrm</dc:creator>
  <cp:lastModifiedBy>rsrm</cp:lastModifiedBy>
  <dcterms:modified xsi:type="dcterms:W3CDTF">2022-07-08T01:56:19Z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842DFDF65C844456BFD997CEC1DC1EAA</vt:lpwstr>
  </property>
</Properties>
</file>