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SZRFYZB202407-121</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2024-2025年一次性用品采购项目</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pStyle w:val="2"/>
        <w:rPr>
          <w:rFonts w:hint="eastAsia"/>
        </w:rPr>
      </w:pPr>
    </w:p>
    <w:p>
      <w:pPr>
        <w:pStyle w:val="2"/>
        <w:rPr>
          <w:rFonts w:hint="eastAsia"/>
          <w:highlight w:val="none"/>
        </w:rPr>
      </w:pP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eastAsia="宋体" w:cs="宋体"/>
          <w:b/>
          <w:color w:val="auto"/>
          <w:sz w:val="28"/>
          <w:szCs w:val="28"/>
          <w:highlight w:val="none"/>
          <w:lang w:val="en-US" w:eastAsia="zh-CN"/>
        </w:rPr>
        <w:t>四年</w:t>
      </w:r>
      <w:r>
        <w:rPr>
          <w:rStyle w:val="31"/>
          <w:rFonts w:hint="eastAsia" w:ascii="宋体" w:hAnsi="宋体" w:cs="宋体"/>
          <w:b/>
          <w:color w:val="auto"/>
          <w:sz w:val="28"/>
          <w:szCs w:val="28"/>
          <w:highlight w:val="none"/>
          <w:lang w:val="en-US" w:eastAsia="zh-CN"/>
        </w:rPr>
        <w:t>七</w:t>
      </w:r>
      <w:r>
        <w:rPr>
          <w:rStyle w:val="31"/>
          <w:rFonts w:hint="eastAsia" w:ascii="宋体" w:hAnsi="宋体" w:eastAsia="宋体" w:cs="宋体"/>
          <w:b/>
          <w:color w:val="auto"/>
          <w:sz w:val="28"/>
          <w:szCs w:val="28"/>
          <w:highlight w:val="none"/>
          <w:lang w:val="en-US" w:eastAsia="zh-CN"/>
        </w:rPr>
        <w:t>月</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pPr>
        <w:pStyle w:val="2"/>
        <w:rPr>
          <w:rFonts w:hint="eastAsia"/>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4" w:type="first"/>
          <w:footerReference r:id="rId6" w:type="first"/>
          <w:headerReference r:id="rId3" w:type="default"/>
          <w:footerReference r:id="rId5"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9" w:type="first"/>
          <w:headerReference r:id="rId7" w:type="default"/>
          <w:footerReference r:id="rId8"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2024-2025年一次性用品采购项目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2024-2025年一次性用品采购项目</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32</w:t>
      </w:r>
      <w:r>
        <w:rPr>
          <w:rStyle w:val="31"/>
          <w:rFonts w:hint="eastAsia" w:ascii="宋体" w:hAnsi="宋体" w:eastAsia="宋体" w:cs="宋体"/>
          <w:sz w:val="24"/>
          <w:szCs w:val="24"/>
          <w:highlight w:val="none"/>
          <w:lang w:val="en-US" w:eastAsia="zh-CN"/>
        </w:rPr>
        <w:t>万元</w:t>
      </w:r>
      <w:r>
        <w:rPr>
          <w:rStyle w:val="31"/>
          <w:rFonts w:hint="eastAsia" w:ascii="宋体" w:hAnsi="宋体" w:cs="宋体"/>
          <w:sz w:val="24"/>
          <w:szCs w:val="24"/>
          <w:highlight w:val="none"/>
          <w:lang w:val="en-US" w:eastAsia="zh-CN"/>
        </w:rPr>
        <w:t>，一年</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下</w:t>
      </w:r>
      <w:r>
        <w:rPr>
          <w:rFonts w:hint="eastAsia" w:ascii="宋体" w:hAnsi="宋体" w:eastAsia="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1"/>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15399101541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，若报价高出预算价格或中标价格高于市场价一经核实，按废标处理。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pStyle w:val="14"/>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eastAsia="宋体" w:cs="宋体"/>
          <w:b/>
          <w:bCs/>
          <w:kern w:val="2"/>
          <w:sz w:val="24"/>
          <w:szCs w:val="24"/>
          <w:lang w:val="en-US" w:eastAsia="zh-CN" w:bidi="ar-SA"/>
        </w:rPr>
        <w:t>采购</w:t>
      </w:r>
      <w:r>
        <w:rPr>
          <w:rFonts w:hint="eastAsia" w:ascii="宋体" w:hAnsi="宋体" w:cs="宋体"/>
          <w:b/>
          <w:bCs/>
          <w:kern w:val="2"/>
          <w:sz w:val="24"/>
          <w:szCs w:val="24"/>
          <w:lang w:val="en-US" w:eastAsia="zh-CN" w:bidi="ar-SA"/>
        </w:rPr>
        <w:t>内容及要求</w:t>
      </w:r>
    </w:p>
    <w:p>
      <w:pPr>
        <w:pStyle w:val="2"/>
        <w:spacing w:line="360" w:lineRule="auto"/>
        <w:rPr>
          <w:rFonts w:hint="default"/>
          <w:sz w:val="24"/>
          <w:szCs w:val="24"/>
          <w:lang w:val="en-US" w:eastAsia="zh-CN"/>
        </w:rPr>
      </w:pPr>
      <w:r>
        <w:rPr>
          <w:rFonts w:hint="eastAsia" w:ascii="宋体" w:hAnsi="宋体" w:cs="宋体"/>
          <w:b/>
          <w:bCs/>
          <w:kern w:val="2"/>
          <w:sz w:val="24"/>
          <w:szCs w:val="24"/>
          <w:lang w:val="en-US" w:eastAsia="zh-CN" w:bidi="ar-SA"/>
        </w:rPr>
        <w:t>1、采购内容</w:t>
      </w:r>
    </w:p>
    <w:tbl>
      <w:tblPr>
        <w:tblStyle w:val="20"/>
        <w:tblpPr w:leftFromText="180" w:rightFromText="180" w:vertAnchor="text" w:horzAnchor="page" w:tblpXSpec="center" w:tblpY="42"/>
        <w:tblOverlap w:val="never"/>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26"/>
        <w:gridCol w:w="2385"/>
        <w:gridCol w:w="1200"/>
        <w:gridCol w:w="201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26" w:type="dxa"/>
            <w:noWrap w:val="0"/>
            <w:vAlign w:val="center"/>
          </w:tcPr>
          <w:p>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品名</w:t>
            </w:r>
          </w:p>
        </w:tc>
        <w:tc>
          <w:tcPr>
            <w:tcW w:w="2385" w:type="dxa"/>
            <w:noWrap w:val="0"/>
            <w:vAlign w:val="center"/>
          </w:tcPr>
          <w:p>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w:t>
            </w:r>
          </w:p>
        </w:tc>
        <w:tc>
          <w:tcPr>
            <w:tcW w:w="1200" w:type="dxa"/>
            <w:noWrap w:val="0"/>
            <w:vAlign w:val="center"/>
          </w:tcPr>
          <w:p>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2010" w:type="dxa"/>
            <w:noWrap w:val="0"/>
            <w:vAlign w:val="center"/>
          </w:tcPr>
          <w:p>
            <w:pPr>
              <w:bidi w:val="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单价</w:t>
            </w:r>
            <w:r>
              <w:rPr>
                <w:rFonts w:hint="eastAsia" w:ascii="宋体" w:hAnsi="宋体" w:eastAsia="宋体" w:cs="宋体"/>
                <w:b/>
                <w:bCs/>
                <w:color w:val="auto"/>
                <w:sz w:val="24"/>
                <w:szCs w:val="24"/>
                <w:highlight w:val="none"/>
                <w:lang w:val="en-US" w:eastAsia="zh-CN"/>
              </w:rPr>
              <w:t>限价（元）</w:t>
            </w:r>
          </w:p>
        </w:tc>
        <w:tc>
          <w:tcPr>
            <w:tcW w:w="2121" w:type="dxa"/>
            <w:noWrap w:val="0"/>
            <w:vAlign w:val="center"/>
          </w:tcPr>
          <w:p>
            <w:pPr>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1</w:t>
            </w:r>
          </w:p>
        </w:tc>
        <w:tc>
          <w:tcPr>
            <w:tcW w:w="142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*被服包</w:t>
            </w:r>
          </w:p>
        </w:tc>
        <w:tc>
          <w:tcPr>
            <w:tcW w:w="2385"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lang w:val="en-US" w:eastAsia="zh-CN"/>
              </w:rPr>
              <w:t>白色150*220cm</w:t>
            </w:r>
          </w:p>
        </w:tc>
        <w:tc>
          <w:tcPr>
            <w:tcW w:w="1200"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lang w:val="en-US" w:eastAsia="zh-CN"/>
              </w:rPr>
              <w:t>包</w:t>
            </w:r>
          </w:p>
        </w:tc>
        <w:tc>
          <w:tcPr>
            <w:tcW w:w="2010" w:type="dxa"/>
            <w:noWrap w:val="0"/>
            <w:vAlign w:val="center"/>
          </w:tcPr>
          <w:p>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23</w:t>
            </w:r>
          </w:p>
        </w:tc>
        <w:tc>
          <w:tcPr>
            <w:tcW w:w="212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lang w:val="en-US" w:eastAsia="zh-CN"/>
              </w:rPr>
              <w:t>无纺布</w:t>
            </w:r>
            <w:r>
              <w:rPr>
                <w:rFonts w:hint="eastAsia" w:ascii="宋体" w:hAnsi="宋体" w:eastAsia="宋体" w:cs="宋体"/>
                <w:color w:val="000000"/>
                <w:sz w:val="24"/>
                <w:szCs w:val="24"/>
              </w:rPr>
              <w:t>一次性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2</w:t>
            </w:r>
          </w:p>
        </w:tc>
        <w:tc>
          <w:tcPr>
            <w:tcW w:w="1426"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床罩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小</w:t>
            </w:r>
            <w:r>
              <w:rPr>
                <w:rFonts w:hint="eastAsia" w:ascii="宋体" w:hAnsi="宋体" w:eastAsia="宋体" w:cs="宋体"/>
                <w:color w:val="000000"/>
                <w:sz w:val="24"/>
                <w:szCs w:val="24"/>
                <w:lang w:eastAsia="zh-CN"/>
              </w:rPr>
              <w:t>）</w:t>
            </w:r>
          </w:p>
        </w:tc>
        <w:tc>
          <w:tcPr>
            <w:tcW w:w="2385"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lang w:val="en-US" w:eastAsia="zh-CN"/>
              </w:rPr>
              <w:t>蓝色</w:t>
            </w:r>
            <w:r>
              <w:rPr>
                <w:rFonts w:hint="eastAsia" w:ascii="宋体" w:hAnsi="宋体" w:eastAsia="宋体" w:cs="宋体"/>
                <w:color w:val="000000"/>
                <w:sz w:val="24"/>
                <w:szCs w:val="24"/>
              </w:rPr>
              <w:t>90*220</w:t>
            </w:r>
            <w:r>
              <w:rPr>
                <w:rFonts w:hint="eastAsia" w:ascii="宋体" w:hAnsi="宋体" w:eastAsia="宋体" w:cs="宋体"/>
                <w:color w:val="000000"/>
                <w:sz w:val="24"/>
                <w:szCs w:val="24"/>
                <w:lang w:val="en-US" w:eastAsia="zh-CN"/>
              </w:rPr>
              <w:t>cm</w:t>
            </w:r>
          </w:p>
        </w:tc>
        <w:tc>
          <w:tcPr>
            <w:tcW w:w="1200"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lang w:val="en-US" w:eastAsia="zh-CN"/>
              </w:rPr>
              <w:t>张</w:t>
            </w:r>
          </w:p>
        </w:tc>
        <w:tc>
          <w:tcPr>
            <w:tcW w:w="2010" w:type="dxa"/>
            <w:noWrap w:val="0"/>
            <w:vAlign w:val="center"/>
          </w:tcPr>
          <w:p>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3.5</w:t>
            </w:r>
          </w:p>
        </w:tc>
        <w:tc>
          <w:tcPr>
            <w:tcW w:w="212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lang w:val="en-US" w:eastAsia="zh-CN"/>
              </w:rPr>
              <w:t>无纺布</w:t>
            </w:r>
            <w:r>
              <w:rPr>
                <w:rFonts w:hint="eastAsia" w:ascii="宋体" w:hAnsi="宋体" w:eastAsia="宋体" w:cs="宋体"/>
                <w:color w:val="000000"/>
                <w:sz w:val="24"/>
                <w:szCs w:val="24"/>
              </w:rPr>
              <w:t>一次性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3</w:t>
            </w:r>
          </w:p>
        </w:tc>
        <w:tc>
          <w:tcPr>
            <w:tcW w:w="142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床罩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中</w:t>
            </w:r>
            <w:r>
              <w:rPr>
                <w:rFonts w:hint="eastAsia" w:ascii="宋体" w:hAnsi="宋体" w:eastAsia="宋体" w:cs="宋体"/>
                <w:color w:val="000000"/>
                <w:sz w:val="24"/>
                <w:szCs w:val="24"/>
                <w:lang w:eastAsia="zh-CN"/>
              </w:rPr>
              <w:t>）</w:t>
            </w:r>
          </w:p>
        </w:tc>
        <w:tc>
          <w:tcPr>
            <w:tcW w:w="2385"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lang w:val="en-US" w:eastAsia="zh-CN"/>
              </w:rPr>
              <w:t>蓝色120</w:t>
            </w:r>
            <w:r>
              <w:rPr>
                <w:rFonts w:hint="eastAsia" w:ascii="宋体" w:hAnsi="宋体" w:eastAsia="宋体" w:cs="宋体"/>
                <w:color w:val="000000"/>
                <w:sz w:val="24"/>
                <w:szCs w:val="24"/>
              </w:rPr>
              <w:t>*220</w:t>
            </w:r>
            <w:r>
              <w:rPr>
                <w:rFonts w:hint="eastAsia" w:ascii="宋体" w:hAnsi="宋体" w:eastAsia="宋体" w:cs="宋体"/>
                <w:color w:val="000000"/>
                <w:sz w:val="24"/>
                <w:szCs w:val="24"/>
                <w:lang w:val="en-US" w:eastAsia="zh-CN"/>
              </w:rPr>
              <w:t>cm</w:t>
            </w:r>
          </w:p>
        </w:tc>
        <w:tc>
          <w:tcPr>
            <w:tcW w:w="1200"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rPr>
              <w:t>张</w:t>
            </w:r>
          </w:p>
        </w:tc>
        <w:tc>
          <w:tcPr>
            <w:tcW w:w="2010" w:type="dxa"/>
            <w:noWrap w:val="0"/>
            <w:vAlign w:val="center"/>
          </w:tcPr>
          <w:p>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4.0</w:t>
            </w:r>
          </w:p>
        </w:tc>
        <w:tc>
          <w:tcPr>
            <w:tcW w:w="212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lang w:val="en-US" w:eastAsia="zh-CN"/>
              </w:rPr>
              <w:t>无纺布</w:t>
            </w:r>
            <w:r>
              <w:rPr>
                <w:rFonts w:hint="eastAsia" w:ascii="宋体" w:hAnsi="宋体" w:eastAsia="宋体" w:cs="宋体"/>
                <w:color w:val="000000"/>
                <w:sz w:val="24"/>
                <w:szCs w:val="24"/>
              </w:rPr>
              <w:t>一次性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4</w:t>
            </w:r>
          </w:p>
        </w:tc>
        <w:tc>
          <w:tcPr>
            <w:tcW w:w="142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床罩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大</w:t>
            </w:r>
            <w:r>
              <w:rPr>
                <w:rFonts w:hint="eastAsia" w:ascii="宋体" w:hAnsi="宋体" w:eastAsia="宋体" w:cs="宋体"/>
                <w:color w:val="000000"/>
                <w:sz w:val="24"/>
                <w:szCs w:val="24"/>
                <w:lang w:eastAsia="zh-CN"/>
              </w:rPr>
              <w:t>）</w:t>
            </w:r>
          </w:p>
        </w:tc>
        <w:tc>
          <w:tcPr>
            <w:tcW w:w="2385"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lang w:val="en-US" w:eastAsia="zh-CN"/>
              </w:rPr>
              <w:t>蓝色150</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40cm</w:t>
            </w:r>
          </w:p>
        </w:tc>
        <w:tc>
          <w:tcPr>
            <w:tcW w:w="120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个</w:t>
            </w:r>
          </w:p>
        </w:tc>
        <w:tc>
          <w:tcPr>
            <w:tcW w:w="2010" w:type="dxa"/>
            <w:noWrap w:val="0"/>
            <w:vAlign w:val="center"/>
          </w:tcPr>
          <w:p>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5.2</w:t>
            </w:r>
          </w:p>
        </w:tc>
        <w:tc>
          <w:tcPr>
            <w:tcW w:w="212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lang w:val="en-US" w:eastAsia="zh-CN"/>
              </w:rPr>
              <w:t>无纺布</w:t>
            </w:r>
            <w:r>
              <w:rPr>
                <w:rFonts w:hint="eastAsia" w:ascii="宋体" w:hAnsi="宋体" w:eastAsia="宋体" w:cs="宋体"/>
                <w:color w:val="000000"/>
                <w:sz w:val="24"/>
                <w:szCs w:val="24"/>
              </w:rPr>
              <w:t>一次性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5</w:t>
            </w:r>
          </w:p>
        </w:tc>
        <w:tc>
          <w:tcPr>
            <w:tcW w:w="142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床刷套</w:t>
            </w:r>
          </w:p>
        </w:tc>
        <w:tc>
          <w:tcPr>
            <w:tcW w:w="238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无纺布</w:t>
            </w:r>
          </w:p>
        </w:tc>
        <w:tc>
          <w:tcPr>
            <w:tcW w:w="120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个</w:t>
            </w:r>
          </w:p>
        </w:tc>
        <w:tc>
          <w:tcPr>
            <w:tcW w:w="2010" w:type="dxa"/>
            <w:noWrap w:val="0"/>
            <w:vAlign w:val="center"/>
          </w:tcPr>
          <w:p>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0.18</w:t>
            </w:r>
          </w:p>
        </w:tc>
        <w:tc>
          <w:tcPr>
            <w:tcW w:w="212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lang w:val="en-US" w:eastAsia="zh-CN"/>
              </w:rPr>
              <w:t>无纺布</w:t>
            </w:r>
            <w:r>
              <w:rPr>
                <w:rFonts w:hint="eastAsia" w:ascii="宋体" w:hAnsi="宋体" w:eastAsia="宋体" w:cs="宋体"/>
                <w:color w:val="000000"/>
                <w:sz w:val="24"/>
                <w:szCs w:val="24"/>
              </w:rPr>
              <w:t>一次性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6</w:t>
            </w:r>
          </w:p>
        </w:tc>
        <w:tc>
          <w:tcPr>
            <w:tcW w:w="1426"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000000"/>
                <w:sz w:val="24"/>
                <w:szCs w:val="24"/>
                <w:lang w:val="en-US" w:eastAsia="zh-CN"/>
              </w:rPr>
              <w:t>利器盒</w:t>
            </w:r>
          </w:p>
        </w:tc>
        <w:tc>
          <w:tcPr>
            <w:tcW w:w="2385"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0.5L圆型（标准）</w:t>
            </w:r>
          </w:p>
        </w:tc>
        <w:tc>
          <w:tcPr>
            <w:tcW w:w="1200"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个</w:t>
            </w:r>
          </w:p>
        </w:tc>
        <w:tc>
          <w:tcPr>
            <w:tcW w:w="2010" w:type="dxa"/>
            <w:noWrap w:val="0"/>
            <w:vAlign w:val="center"/>
          </w:tcPr>
          <w:p>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1.2</w:t>
            </w:r>
          </w:p>
        </w:tc>
        <w:tc>
          <w:tcPr>
            <w:tcW w:w="2121" w:type="dxa"/>
            <w:vMerge w:val="restart"/>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一次性，印刷符合《医疗废物专用包装袋、容器和警示标志标准》（HJ 421-2008）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7</w:t>
            </w:r>
          </w:p>
        </w:tc>
        <w:tc>
          <w:tcPr>
            <w:tcW w:w="1426"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lang w:val="en-US" w:eastAsia="zh-CN"/>
              </w:rPr>
              <w:t>利器盒</w:t>
            </w:r>
          </w:p>
        </w:tc>
        <w:tc>
          <w:tcPr>
            <w:tcW w:w="2385"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pacing w:val="-20"/>
                <w:sz w:val="24"/>
                <w:szCs w:val="24"/>
              </w:rPr>
              <w:t>1L</w:t>
            </w:r>
            <w:r>
              <w:rPr>
                <w:rFonts w:hint="eastAsia" w:ascii="宋体" w:hAnsi="宋体" w:eastAsia="宋体" w:cs="宋体"/>
                <w:bCs/>
                <w:color w:val="000000"/>
                <w:sz w:val="24"/>
                <w:szCs w:val="24"/>
              </w:rPr>
              <w:t>圆型（标准）</w:t>
            </w:r>
          </w:p>
        </w:tc>
        <w:tc>
          <w:tcPr>
            <w:tcW w:w="1200"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个</w:t>
            </w:r>
          </w:p>
        </w:tc>
        <w:tc>
          <w:tcPr>
            <w:tcW w:w="2010" w:type="dxa"/>
            <w:noWrap w:val="0"/>
            <w:vAlign w:val="center"/>
          </w:tcPr>
          <w:p>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1.5</w:t>
            </w:r>
          </w:p>
        </w:tc>
        <w:tc>
          <w:tcPr>
            <w:tcW w:w="2121" w:type="dxa"/>
            <w:vMerge w:val="continue"/>
            <w:noWrap w:val="0"/>
            <w:vAlign w:val="center"/>
          </w:tcPr>
          <w:p>
            <w:pPr>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8</w:t>
            </w:r>
          </w:p>
        </w:tc>
        <w:tc>
          <w:tcPr>
            <w:tcW w:w="1426"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lang w:val="en-US" w:eastAsia="zh-CN"/>
              </w:rPr>
              <w:t>*利器盒</w:t>
            </w:r>
          </w:p>
        </w:tc>
        <w:tc>
          <w:tcPr>
            <w:tcW w:w="2385"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pacing w:val="-20"/>
                <w:sz w:val="24"/>
                <w:szCs w:val="24"/>
              </w:rPr>
              <w:t>2L</w:t>
            </w:r>
            <w:r>
              <w:rPr>
                <w:rFonts w:hint="eastAsia" w:ascii="宋体" w:hAnsi="宋体" w:eastAsia="宋体" w:cs="宋体"/>
                <w:bCs/>
                <w:color w:val="000000"/>
                <w:sz w:val="24"/>
                <w:szCs w:val="24"/>
              </w:rPr>
              <w:t>圆型（标准）</w:t>
            </w:r>
          </w:p>
        </w:tc>
        <w:tc>
          <w:tcPr>
            <w:tcW w:w="1200"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个</w:t>
            </w:r>
          </w:p>
        </w:tc>
        <w:tc>
          <w:tcPr>
            <w:tcW w:w="2010" w:type="dxa"/>
            <w:noWrap w:val="0"/>
            <w:vAlign w:val="center"/>
          </w:tcPr>
          <w:p>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2.3</w:t>
            </w:r>
          </w:p>
        </w:tc>
        <w:tc>
          <w:tcPr>
            <w:tcW w:w="2121" w:type="dxa"/>
            <w:vMerge w:val="continue"/>
            <w:noWrap w:val="0"/>
            <w:vAlign w:val="center"/>
          </w:tcPr>
          <w:p>
            <w:pPr>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9</w:t>
            </w:r>
          </w:p>
        </w:tc>
        <w:tc>
          <w:tcPr>
            <w:tcW w:w="1426"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lang w:val="en-US" w:eastAsia="zh-CN"/>
              </w:rPr>
              <w:t>利器盒</w:t>
            </w:r>
          </w:p>
        </w:tc>
        <w:tc>
          <w:tcPr>
            <w:tcW w:w="2385"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pacing w:val="-20"/>
                <w:sz w:val="24"/>
                <w:szCs w:val="24"/>
              </w:rPr>
              <w:t>4L</w:t>
            </w:r>
            <w:r>
              <w:rPr>
                <w:rFonts w:hint="eastAsia" w:ascii="宋体" w:hAnsi="宋体" w:eastAsia="宋体" w:cs="宋体"/>
                <w:bCs/>
                <w:color w:val="000000"/>
                <w:sz w:val="24"/>
                <w:szCs w:val="24"/>
              </w:rPr>
              <w:t>圆型（标准）</w:t>
            </w:r>
          </w:p>
        </w:tc>
        <w:tc>
          <w:tcPr>
            <w:tcW w:w="1200"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个</w:t>
            </w:r>
          </w:p>
        </w:tc>
        <w:tc>
          <w:tcPr>
            <w:tcW w:w="2010" w:type="dxa"/>
            <w:noWrap w:val="0"/>
            <w:vAlign w:val="center"/>
          </w:tcPr>
          <w:p>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3.4</w:t>
            </w:r>
          </w:p>
        </w:tc>
        <w:tc>
          <w:tcPr>
            <w:tcW w:w="2121" w:type="dxa"/>
            <w:vMerge w:val="continue"/>
            <w:noWrap w:val="0"/>
            <w:vAlign w:val="center"/>
          </w:tcPr>
          <w:p>
            <w:pPr>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10</w:t>
            </w:r>
          </w:p>
        </w:tc>
        <w:tc>
          <w:tcPr>
            <w:tcW w:w="1426"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lang w:val="en-US" w:eastAsia="zh-CN"/>
              </w:rPr>
              <w:t>利器盒</w:t>
            </w:r>
          </w:p>
        </w:tc>
        <w:tc>
          <w:tcPr>
            <w:tcW w:w="2385"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8L圆型（标准）</w:t>
            </w:r>
          </w:p>
        </w:tc>
        <w:tc>
          <w:tcPr>
            <w:tcW w:w="1200"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个</w:t>
            </w:r>
          </w:p>
        </w:tc>
        <w:tc>
          <w:tcPr>
            <w:tcW w:w="2010" w:type="dxa"/>
            <w:noWrap w:val="0"/>
            <w:vAlign w:val="center"/>
          </w:tcPr>
          <w:p>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5.5</w:t>
            </w:r>
          </w:p>
        </w:tc>
        <w:tc>
          <w:tcPr>
            <w:tcW w:w="2121" w:type="dxa"/>
            <w:vMerge w:val="continue"/>
            <w:noWrap w:val="0"/>
            <w:vAlign w:val="center"/>
          </w:tcPr>
          <w:p>
            <w:pPr>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57" w:type="dxa"/>
            <w:gridSpan w:val="4"/>
            <w:noWrap w:val="0"/>
            <w:vAlign w:val="center"/>
          </w:tcPr>
          <w:p>
            <w:pPr>
              <w:bidi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tc>
        <w:tc>
          <w:tcPr>
            <w:tcW w:w="2010" w:type="dxa"/>
            <w:noWrap w:val="0"/>
            <w:vAlign w:val="center"/>
          </w:tcPr>
          <w:p>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49.78</w:t>
            </w:r>
          </w:p>
        </w:tc>
        <w:tc>
          <w:tcPr>
            <w:tcW w:w="2121" w:type="dxa"/>
            <w:noWrap w:val="0"/>
            <w:vAlign w:val="center"/>
          </w:tcPr>
          <w:p>
            <w:pPr>
              <w:bidi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exact"/>
          <w:jc w:val="center"/>
        </w:trPr>
        <w:tc>
          <w:tcPr>
            <w:tcW w:w="988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医用无纺布包装材料应为纺织纤维和（或）无纺纤维组成联结的网织品，不包括矿物质纤维。其微生物屏障性、抗水性、与人体组织的相容性、透气性、抗盐水性、表面吸收度、毒理学试验、最大等效孔径、悬挂度、拉伸强度和耐破度等应符合国家有关规定，且专用于医疗用途，应一次性使用。</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尺寸与规格只允许无偏离和正偏离，不允许负偏离，负偏离做无效标。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上表内各项投标报价均不得超过单价限价，否则按废标处理；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带*品名为开标现场必带样品。</w:t>
            </w:r>
          </w:p>
          <w:p>
            <w:pPr>
              <w:pStyle w:val="2"/>
              <w:numPr>
                <w:ilvl w:val="0"/>
                <w:numId w:val="0"/>
              </w:numPr>
              <w:ind w:leftChars="200"/>
              <w:rPr>
                <w:rFonts w:hint="eastAsia"/>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2、产品要求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（1）须符合国家、省、市、行业等规范，所供货物须是全新未使用的且整洁、干燥、无破损、无污渍、无异味、包装须完整无破损；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b/>
          <w:bCs/>
          <w:i w:val="0"/>
          <w:iCs w:val="0"/>
          <w:caps w:val="0"/>
          <w:sz w:val="24"/>
          <w:szCs w:val="24"/>
          <w:highlight w:val="none"/>
          <w:lang w:val="en-US" w:eastAsia="zh-CN"/>
        </w:rPr>
      </w:pPr>
      <w:r>
        <w:rPr>
          <w:rFonts w:hint="eastAsia" w:ascii="宋体" w:hAnsi="宋体"/>
          <w:b/>
          <w:bCs/>
          <w:i w:val="0"/>
          <w:iCs w:val="0"/>
          <w:caps w:val="0"/>
          <w:sz w:val="24"/>
          <w:szCs w:val="24"/>
          <w:highlight w:val="none"/>
          <w:lang w:val="en-US" w:eastAsia="zh-CN"/>
        </w:rPr>
        <w:t>*（6）供应商须现场提供表格内带*号样品，实际供货以样品为准。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3、</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4、</w:t>
      </w:r>
      <w:r>
        <w:rPr>
          <w:rFonts w:hint="eastAsia" w:ascii="宋体" w:hAnsi="宋体" w:eastAsia="宋体" w:cs="宋体"/>
          <w:b/>
          <w:bCs/>
          <w:sz w:val="24"/>
          <w:szCs w:val="24"/>
          <w:highlight w:val="none"/>
          <w:u w:val="none"/>
          <w:lang w:val="en-US" w:eastAsia="zh-CN"/>
        </w:rPr>
        <w:t>供货期：合同签订之日起一年</w:t>
      </w:r>
      <w:r>
        <w:rPr>
          <w:rFonts w:hint="eastAsia" w:ascii="宋体" w:hAnsi="宋体" w:cs="宋体"/>
          <w:b/>
          <w:bCs/>
          <w:sz w:val="24"/>
          <w:szCs w:val="24"/>
          <w:highlight w:val="none"/>
          <w:u w:val="none"/>
          <w:lang w:val="en-US"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5、交货地点：陕西中医药大学第二附属医院指定交货地点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pPr>
        <w:pStyle w:val="2"/>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eastAsia="宋体" w:cs="宋体"/>
          <w:b/>
          <w:bCs/>
          <w:sz w:val="24"/>
          <w:szCs w:val="24"/>
          <w:highlight w:val="none"/>
        </w:rPr>
        <w:t>副本可以是复印件，但</w:t>
      </w:r>
      <w:r>
        <w:rPr>
          <w:rFonts w:hint="eastAsia" w:ascii="宋体" w:hAnsi="宋体" w:eastAsia="宋体" w:cs="宋体"/>
          <w:b/>
          <w:bCs/>
          <w:sz w:val="24"/>
          <w:szCs w:val="24"/>
          <w:highlight w:val="none"/>
          <w:lang w:eastAsia="zh-CN"/>
        </w:rPr>
        <w:t>盖章</w:t>
      </w:r>
      <w:r>
        <w:rPr>
          <w:rFonts w:hint="eastAsia" w:ascii="宋体" w:hAnsi="宋体" w:eastAsia="宋体" w:cs="宋体"/>
          <w:b/>
          <w:bCs/>
          <w:sz w:val="24"/>
          <w:szCs w:val="24"/>
          <w:highlight w:val="none"/>
        </w:rPr>
        <w:t>应是</w:t>
      </w:r>
      <w:r>
        <w:rPr>
          <w:rFonts w:hint="eastAsia" w:ascii="宋体" w:hAnsi="宋体" w:eastAsia="宋体" w:cs="宋体"/>
          <w:b/>
          <w:bCs/>
          <w:sz w:val="24"/>
          <w:szCs w:val="24"/>
          <w:highlight w:val="none"/>
          <w:lang w:eastAsia="zh-CN"/>
        </w:rPr>
        <w:t>鲜章</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应分别胶装成册，装订应牢固、不易拆散和换页，不得采用活页装订。电子版投标文件为投标文件正本PDF格式，保存于U盘并用标签注明单位名称。</w:t>
      </w:r>
    </w:p>
    <w:p>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pPr>
        <w:pageBreakBefore w:val="0"/>
        <w:kinsoku/>
        <w:wordWrap/>
        <w:overflowPunct/>
        <w:topLinePunct w:val="0"/>
        <w:bidi w:val="0"/>
        <w:spacing w:line="360" w:lineRule="auto"/>
        <w:ind w:left="0" w:leftChars="0"/>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lang w:eastAsia="zh-CN"/>
        </w:rPr>
      </w:pPr>
    </w:p>
    <w:p>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pPr>
        <w:pStyle w:val="7"/>
        <w:rPr>
          <w:rFonts w:hint="eastAsia" w:ascii="宋体" w:hAnsi="宋体" w:eastAsia="宋体" w:cs="宋体"/>
          <w:sz w:val="24"/>
          <w:szCs w:val="24"/>
          <w:highlight w:val="none"/>
          <w:lang w:eastAsia="zh-CN"/>
        </w:rPr>
      </w:pPr>
    </w:p>
    <w:p>
      <w:pPr>
        <w:rPr>
          <w:rFonts w:hint="eastAsia" w:ascii="宋体" w:hAnsi="宋体" w:eastAsia="宋体" w:cs="宋体"/>
          <w:sz w:val="24"/>
          <w:szCs w:val="24"/>
          <w:highlight w:val="none"/>
          <w:lang w:eastAsia="zh-CN"/>
        </w:rPr>
      </w:pPr>
    </w:p>
    <w:p>
      <w:pPr>
        <w:pStyle w:val="2"/>
        <w:rPr>
          <w:rFonts w:hint="eastAsia"/>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855"/>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1、供货的总体方案的合理性、服务的及时性等。供应商针对服务分期分批次供货的时间不确定性、采购内容分散、</w:t>
            </w:r>
            <w:r>
              <w:rPr>
                <w:rFonts w:hint="eastAsia" w:ascii="宋体" w:hAnsi="宋体" w:cs="宋体"/>
                <w:i w:val="0"/>
                <w:iCs w:val="0"/>
                <w:color w:val="000000"/>
                <w:kern w:val="0"/>
                <w:sz w:val="24"/>
                <w:szCs w:val="24"/>
                <w:u w:val="none"/>
                <w:lang w:val="en-US" w:eastAsia="zh-CN" w:bidi="ar"/>
              </w:rPr>
              <w:t>种类繁多</w:t>
            </w:r>
            <w:r>
              <w:rPr>
                <w:rFonts w:hint="eastAsia" w:ascii="宋体" w:hAnsi="宋体" w:eastAsia="宋体" w:cs="宋体"/>
                <w:i w:val="0"/>
                <w:iCs w:val="0"/>
                <w:color w:val="000000"/>
                <w:kern w:val="0"/>
                <w:sz w:val="24"/>
                <w:szCs w:val="24"/>
                <w:u w:val="none"/>
                <w:lang w:val="en-US" w:eastAsia="zh-CN" w:bidi="ar"/>
              </w:rPr>
              <w:t>等复杂情况，如何快速响应，按时按需完成供货及相关服务等要求，提出可行的解决方案。根据优劣程度最高得0-5分；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2、应急保障及危机处置预案，根据可操作性、适宜组织实施得0-5分；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3、拟投入人员情况能满足本项目供货配货要求，人员分工明确，得0-2分。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产品技术参数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根据投标人所投产品的特征、技术指标和性能等内容提供相应证明材料，产品规格、材质满足招标文件要求，产品质量能够得到充分的证明，得5分，正偏离的根据情况加1分，最多加5分。</w:t>
            </w:r>
            <w:r>
              <w:rPr>
                <w:rStyle w:val="41"/>
                <w:lang w:val="en-US" w:eastAsia="zh-CN" w:bidi="ar"/>
              </w:rPr>
              <w:t>负偏离做无效标处理。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质量保证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1、货源渠道：投标人拟投产品进货渠道正规，质量有保证，提供相关证明并承诺所投产品进货渠道正规，无假货、水货、翻新货且无产权纠纷，按其响应程度得0-5分。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2、质量检测：产品质量优良，符合招标文件要求并符合相关国家标准和行业标准，能提第三方权威机构出具的产品检测报告，根据检验报告数量及检验项目横向比较，得0-5分。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根据投标人的售后服务方案（包括但不限于1.售后服务标准及措施；2.响应及时；3.质保期；4、质保期满后承诺；5、退换货承诺等），按其响应程度得0-10分。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优惠承诺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评标委员会根据各投标人实质性优惠承诺的情况综合评分，得0-3分。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评标委员会根据提供的投标样品质量情况，从样品做工、制造工艺水平、产品设计的合理性和适用性等几方面综合评议。未提供投标样品的或未提供齐全的，则该项不得分。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①样品外观及整体性能：0-5分；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②样品工艺及设计：0-5分；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③样品质量及材质：0-5分；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④样品实际的符合性：0-5分；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投标人2021年1月1日以来同类业绩（以合同签订时间为准），每份合同得1分，最高得5分。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投标人未按要求提供合同、或提供的合同字迹模糊无法辨识的，该笔业绩均不予计分。同类业绩以评标委员会集体判定为准。</w:t>
            </w:r>
          </w:p>
        </w:tc>
      </w:tr>
    </w:tbl>
    <w:p>
      <w:pPr>
        <w:pStyle w:val="2"/>
        <w:rPr>
          <w:rFonts w:hint="eastAsia"/>
          <w:lang w:eastAsia="zh-CN"/>
        </w:rPr>
      </w:pPr>
    </w:p>
    <w:bookmarkEnd w:id="2"/>
    <w:bookmarkEnd w:id="3"/>
    <w:p>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259455689"/>
      <w:bookmarkStart w:id="5" w:name="_Toc520356170"/>
      <w:bookmarkStart w:id="6" w:name="成交供货商候选人的确定标准"/>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陕西中医药大学第二附属医院</w:t>
      </w:r>
      <w:r>
        <w:rPr>
          <w:rFonts w:hint="eastAsia" w:ascii="宋体" w:hAnsi="宋体" w:eastAsia="宋体" w:cs="宋体"/>
          <w:sz w:val="24"/>
          <w:szCs w:val="24"/>
        </w:rPr>
        <w:t>，其注册登记地址为：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cs="宋体"/>
          <w:sz w:val="24"/>
          <w:szCs w:val="24"/>
          <w:u w:val="single"/>
          <w:lang w:val="en-US" w:eastAsia="zh-CN"/>
        </w:rPr>
        <w:t>栗文彬</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其注册登记地址为</w:t>
      </w:r>
      <w:r>
        <w:rPr>
          <w:rFonts w:hint="eastAsia" w:ascii="宋体" w:hAnsi="宋体" w:eastAsia="宋体" w:cs="宋体"/>
          <w:sz w:val="24"/>
          <w:szCs w:val="24"/>
          <w:u w:val="none" w:color="auto"/>
        </w:rPr>
        <w:t>：</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法定代表人为：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w:t>
      </w:r>
      <w:r>
        <w:rPr>
          <w:rFonts w:hint="eastAsia" w:ascii="宋体" w:hAnsi="宋体" w:cs="宋体"/>
          <w:sz w:val="24"/>
          <w:szCs w:val="24"/>
          <w:lang w:val="en-US" w:eastAsia="zh-CN"/>
        </w:rPr>
        <w:t>典</w:t>
      </w:r>
      <w:r>
        <w:rPr>
          <w:rFonts w:hint="eastAsia" w:ascii="宋体" w:hAnsi="宋体" w:eastAsia="宋体" w:cs="宋体"/>
          <w:sz w:val="24"/>
          <w:szCs w:val="24"/>
        </w:rPr>
        <w:t>》相关规定，现经甲、乙双方友好协商，就甲方购买乙方产品</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事宜，达成以下合同条款：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第一条：</w:t>
      </w:r>
      <w:r>
        <w:rPr>
          <w:rFonts w:hint="eastAsia" w:ascii="宋体" w:hAnsi="宋体" w:eastAsia="宋体" w:cs="宋体"/>
          <w:b/>
          <w:sz w:val="24"/>
          <w:szCs w:val="24"/>
          <w:lang w:eastAsia="zh-CN"/>
        </w:rPr>
        <w:t>产品信息：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40"/>
        <w:gridCol w:w="1740"/>
        <w:gridCol w:w="174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货物名称</w:t>
            </w:r>
          </w:p>
        </w:tc>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单价</w:t>
            </w:r>
          </w:p>
        </w:tc>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数量</w:t>
            </w:r>
          </w:p>
        </w:tc>
        <w:tc>
          <w:tcPr>
            <w:tcW w:w="1741"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参数</w:t>
            </w:r>
          </w:p>
        </w:tc>
        <w:tc>
          <w:tcPr>
            <w:tcW w:w="1741"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lang w:eastAsia="zh-CN"/>
        </w:rPr>
        <w:t>为固定单价合同</w:t>
      </w:r>
      <w:r>
        <w:rPr>
          <w:rFonts w:hint="eastAsia" w:ascii="宋体" w:hAnsi="宋体" w:eastAsia="宋体" w:cs="宋体"/>
          <w:sz w:val="24"/>
          <w:szCs w:val="24"/>
        </w:rPr>
        <w:t>，该价格</w:t>
      </w:r>
      <w:r>
        <w:rPr>
          <w:rFonts w:hint="eastAsia" w:ascii="宋体" w:hAnsi="宋体" w:eastAsia="宋体" w:cs="宋体"/>
          <w:sz w:val="24"/>
          <w:szCs w:val="24"/>
          <w:lang w:eastAsia="zh-CN"/>
        </w:rPr>
        <w:t>已</w:t>
      </w:r>
      <w:r>
        <w:rPr>
          <w:rFonts w:hint="eastAsia" w:ascii="宋体" w:hAnsi="宋体" w:eastAsia="宋体" w:cs="宋体"/>
          <w:sz w:val="24"/>
          <w:szCs w:val="24"/>
        </w:rPr>
        <w:t>包括但不限于产品供应价、运杂费（含运费、</w:t>
      </w:r>
      <w:r>
        <w:rPr>
          <w:rFonts w:hint="eastAsia" w:ascii="宋体" w:hAnsi="宋体" w:eastAsia="宋体" w:cs="宋体"/>
          <w:sz w:val="24"/>
          <w:szCs w:val="24"/>
          <w:lang w:eastAsia="zh-CN"/>
        </w:rPr>
        <w:t>二次倒运费、</w:t>
      </w:r>
      <w:r>
        <w:rPr>
          <w:rFonts w:hint="eastAsia" w:ascii="宋体" w:hAnsi="宋体" w:eastAsia="宋体" w:cs="宋体"/>
          <w:sz w:val="24"/>
          <w:szCs w:val="24"/>
        </w:rPr>
        <w:t>仓储费、装卸费等）、</w:t>
      </w:r>
      <w:r>
        <w:rPr>
          <w:rFonts w:hint="eastAsia" w:ascii="宋体" w:hAnsi="宋体" w:eastAsia="宋体" w:cs="宋体"/>
          <w:sz w:val="24"/>
          <w:szCs w:val="24"/>
          <w:lang w:eastAsia="zh-CN"/>
        </w:rPr>
        <w:t>乙方人员服务费、差旅费、</w:t>
      </w:r>
      <w:r>
        <w:rPr>
          <w:rFonts w:hint="eastAsia" w:ascii="宋体" w:hAnsi="宋体" w:eastAsia="宋体" w:cs="宋体"/>
          <w:sz w:val="24"/>
          <w:szCs w:val="24"/>
        </w:rPr>
        <w:t>税金</w:t>
      </w:r>
      <w:r>
        <w:rPr>
          <w:rFonts w:hint="eastAsia" w:ascii="宋体" w:hAnsi="宋体" w:eastAsia="宋体" w:cs="宋体"/>
          <w:sz w:val="24"/>
          <w:szCs w:val="24"/>
          <w:lang w:eastAsia="zh-CN"/>
        </w:rPr>
        <w:t>等</w:t>
      </w:r>
      <w:r>
        <w:rPr>
          <w:rFonts w:hint="eastAsia" w:ascii="宋体" w:hAnsi="宋体" w:eastAsia="宋体" w:cs="宋体"/>
          <w:sz w:val="24"/>
          <w:szCs w:val="24"/>
        </w:rPr>
        <w:t>及其它不可预见费用。</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陕西中医药大学第二附属医院</w:t>
      </w:r>
      <w:r>
        <w:rPr>
          <w:rFonts w:hint="eastAsia" w:ascii="宋体" w:hAnsi="宋体" w:eastAsia="宋体" w:cs="宋体"/>
          <w:sz w:val="24"/>
          <w:szCs w:val="24"/>
          <w:lang w:eastAsia="zh-CN"/>
        </w:rPr>
        <w:t>指定地点。</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第三条：交货时间：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合同签订之日起，甲方</w:t>
      </w:r>
      <w:r>
        <w:rPr>
          <w:rFonts w:hint="eastAsia" w:ascii="宋体" w:hAnsi="宋体" w:cs="宋体"/>
          <w:sz w:val="24"/>
          <w:szCs w:val="24"/>
          <w:lang w:val="en-US" w:eastAsia="zh-CN"/>
        </w:rPr>
        <w:t>每月</w:t>
      </w:r>
      <w:r>
        <w:rPr>
          <w:rFonts w:hint="eastAsia" w:ascii="宋体" w:hAnsi="宋体" w:eastAsia="宋体" w:cs="宋体"/>
          <w:sz w:val="24"/>
          <w:szCs w:val="24"/>
        </w:rPr>
        <w:t>提前</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个工作</w:t>
      </w:r>
      <w:r>
        <w:rPr>
          <w:rFonts w:hint="eastAsia" w:ascii="宋体" w:hAnsi="宋体" w:eastAsia="宋体" w:cs="宋体"/>
          <w:sz w:val="24"/>
          <w:szCs w:val="24"/>
          <w:u w:val="none"/>
        </w:rPr>
        <w:t>日</w:t>
      </w:r>
      <w:r>
        <w:rPr>
          <w:rFonts w:hint="eastAsia" w:ascii="宋体" w:hAnsi="宋体" w:eastAsia="宋体" w:cs="宋体"/>
          <w:sz w:val="24"/>
          <w:szCs w:val="24"/>
        </w:rPr>
        <w:t>通知乙方送货时间、数量，乙方必须在甲方要求的时间内</w:t>
      </w:r>
      <w:r>
        <w:rPr>
          <w:rFonts w:hint="eastAsia" w:ascii="宋体" w:hAnsi="宋体" w:eastAsia="宋体" w:cs="宋体"/>
          <w:sz w:val="24"/>
          <w:szCs w:val="24"/>
          <w:lang w:eastAsia="zh-CN"/>
        </w:rPr>
        <w:t>备货并</w:t>
      </w:r>
      <w:r>
        <w:rPr>
          <w:rFonts w:hint="eastAsia" w:ascii="宋体" w:hAnsi="宋体" w:eastAsia="宋体" w:cs="宋体"/>
          <w:sz w:val="24"/>
          <w:szCs w:val="24"/>
        </w:rPr>
        <w:t>将货物送至合同约定交货地点。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sz w:val="24"/>
          <w:szCs w:val="24"/>
          <w:lang w:eastAsia="zh-CN"/>
        </w:rPr>
      </w:pPr>
      <w:r>
        <w:rPr>
          <w:rFonts w:hint="eastAsia" w:ascii="宋体" w:hAnsi="宋体" w:eastAsia="宋体" w:cs="宋体"/>
          <w:b/>
          <w:sz w:val="24"/>
          <w:szCs w:val="24"/>
        </w:rPr>
        <w:t>第四条</w:t>
      </w:r>
      <w:r>
        <w:rPr>
          <w:rFonts w:hint="eastAsia" w:ascii="宋体" w:hAnsi="宋体" w:eastAsia="宋体" w:cs="宋体"/>
          <w:b/>
          <w:sz w:val="24"/>
          <w:szCs w:val="24"/>
          <w:lang w:eastAsia="zh-CN"/>
        </w:rPr>
        <w:t>：</w:t>
      </w:r>
      <w:r>
        <w:rPr>
          <w:rFonts w:hint="eastAsia" w:ascii="宋体" w:hAnsi="宋体" w:eastAsia="宋体" w:cs="宋体"/>
          <w:b/>
          <w:sz w:val="24"/>
          <w:szCs w:val="24"/>
        </w:rPr>
        <w:t>甲方指定收货人</w:t>
      </w:r>
      <w:r>
        <w:rPr>
          <w:rFonts w:hint="eastAsia" w:ascii="宋体" w:hAnsi="宋体" w:cs="宋体"/>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b w:val="0"/>
          <w:bCs/>
          <w:sz w:val="24"/>
          <w:szCs w:val="24"/>
          <w:lang w:val="en-US" w:eastAsia="zh-CN"/>
        </w:rPr>
        <w:t xml:space="preserve">秦都院区：   </w:t>
      </w:r>
      <w:r>
        <w:rPr>
          <w:rFonts w:hint="eastAsia" w:ascii="宋体" w:hAnsi="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cs="宋体"/>
          <w:sz w:val="24"/>
          <w:szCs w:val="24"/>
          <w:lang w:eastAsia="zh-CN"/>
        </w:rPr>
        <w:t>：</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西咸院区：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根据使用需要，如</w:t>
      </w:r>
      <w:r>
        <w:rPr>
          <w:rFonts w:hint="eastAsia" w:ascii="宋体" w:hAnsi="宋体" w:cs="宋体"/>
          <w:sz w:val="24"/>
          <w:szCs w:val="24"/>
          <w:lang w:val="en-US" w:eastAsia="zh-CN"/>
        </w:rPr>
        <w:t>甲方</w:t>
      </w:r>
      <w:r>
        <w:rPr>
          <w:rFonts w:hint="eastAsia" w:ascii="宋体" w:hAnsi="宋体" w:eastAsia="宋体" w:cs="宋体"/>
          <w:sz w:val="24"/>
          <w:szCs w:val="24"/>
        </w:rPr>
        <w:t>需提前或推迟收货，应当提前通知乙方，乙方应无条件配合，不得收取仓储费等任何费用。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第五条：货款结算方式：</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w:t>
      </w:r>
      <w:r>
        <w:rPr>
          <w:rFonts w:hint="eastAsia"/>
          <w:color w:val="auto"/>
          <w:sz w:val="24"/>
          <w:szCs w:val="24"/>
          <w:highlight w:val="none"/>
          <w:lang w:val="en-US" w:eastAsia="zh-CN"/>
        </w:rPr>
        <w:t>需保证</w:t>
      </w:r>
      <w:r>
        <w:rPr>
          <w:rFonts w:hint="eastAsia"/>
          <w:color w:val="auto"/>
          <w:sz w:val="24"/>
          <w:szCs w:val="24"/>
          <w:highlight w:val="none"/>
        </w:rPr>
        <w:t>均能够全部通过甲方验收合格使用，交易双方确认当批次供销数额无误后，乙方根据实际核对的数量按月开具等额合规的正式税务发票，甲方在收到乙方发票后应按当月开票时间进行挂账，</w:t>
      </w:r>
      <w:r>
        <w:rPr>
          <w:rFonts w:hint="eastAsia"/>
          <w:color w:val="auto"/>
          <w:sz w:val="24"/>
          <w:szCs w:val="24"/>
          <w:highlight w:val="none"/>
          <w:lang w:val="en-US" w:eastAsia="zh-CN"/>
        </w:rPr>
        <w:t>于本季度末支付上季度货款</w:t>
      </w:r>
      <w:r>
        <w:rPr>
          <w:rFonts w:hint="eastAsia"/>
          <w:color w:val="auto"/>
          <w:sz w:val="24"/>
          <w:szCs w:val="24"/>
          <w:highlight w:val="none"/>
        </w:rPr>
        <w:t>。乙方未按照合同的约定提供发票或提供的发票不符合规定的，甲方有权拒付合同款项且不承担任何法律责任。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乙方账户：</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号:</w:t>
      </w:r>
      <w:r>
        <w:rPr>
          <w:rFonts w:hint="eastAsia" w:ascii="宋体" w:hAnsi="宋体" w:eastAsia="宋体" w:cs="宋体"/>
          <w:sz w:val="24"/>
          <w:szCs w:val="24"/>
        </w:rPr>
        <w:t xml:space="preserve"> </w:t>
      </w:r>
      <w:r>
        <w:rPr>
          <w:rFonts w:hint="eastAsia" w:ascii="宋体" w:hAnsi="宋体" w:cs="宋体"/>
          <w:sz w:val="24"/>
          <w:szCs w:val="24"/>
          <w:u w:val="single" w:color="auto"/>
          <w:lang w:val="en-US" w:eastAsia="zh-CN"/>
        </w:rPr>
        <w:t xml:space="preserve"> </w:t>
      </w:r>
      <w:r>
        <w:rPr>
          <w:rFonts w:hint="eastAsia" w:ascii="宋体" w:hAnsi="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color w:val="auto"/>
          <w:sz w:val="24"/>
          <w:szCs w:val="24"/>
        </w:rPr>
        <w:t>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行</w:t>
      </w:r>
      <w:r>
        <w:rPr>
          <w:rFonts w:hint="eastAsia" w:ascii="宋体" w:hAnsi="宋体" w:eastAsia="宋体" w:cs="宋体"/>
          <w:color w:val="auto"/>
          <w:sz w:val="24"/>
          <w:szCs w:val="24"/>
          <w:u w:val="non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第六条：运输及风险：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w:t>
      </w:r>
      <w:r>
        <w:rPr>
          <w:rFonts w:hint="eastAsia" w:ascii="宋体" w:hAnsi="宋体" w:eastAsia="宋体" w:cs="宋体"/>
          <w:sz w:val="24"/>
          <w:szCs w:val="24"/>
          <w:lang w:val="en-US" w:eastAsia="zh-CN"/>
        </w:rPr>
        <w:t>并装卸</w:t>
      </w:r>
      <w:r>
        <w:rPr>
          <w:rFonts w:hint="eastAsia" w:ascii="宋体" w:hAnsi="宋体" w:eastAsia="宋体" w:cs="宋体"/>
          <w:sz w:val="24"/>
          <w:szCs w:val="24"/>
        </w:rPr>
        <w:t>到指定交货地点，并承担合同中约定的全部费用。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w:t>
      </w:r>
      <w:r>
        <w:rPr>
          <w:rFonts w:hint="eastAsia" w:ascii="宋体" w:hAnsi="宋体" w:eastAsia="宋体" w:cs="宋体"/>
          <w:sz w:val="24"/>
          <w:szCs w:val="24"/>
          <w:lang w:val="en-US" w:eastAsia="zh-CN"/>
        </w:rPr>
        <w:t>并获得甲方验收合格</w:t>
      </w:r>
      <w:r>
        <w:rPr>
          <w:rFonts w:hint="eastAsia" w:ascii="宋体" w:hAnsi="宋体" w:eastAsia="宋体" w:cs="宋体"/>
          <w:sz w:val="24"/>
          <w:szCs w:val="24"/>
        </w:rPr>
        <w:t>之前，毁损、灭失的风险均由乙方全部承担。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货物验收及</w:t>
      </w:r>
      <w:r>
        <w:rPr>
          <w:rFonts w:hint="eastAsia" w:ascii="宋体" w:hAnsi="宋体" w:eastAsia="宋体" w:cs="宋体"/>
          <w:b/>
          <w:sz w:val="24"/>
          <w:szCs w:val="24"/>
        </w:rPr>
        <w:t>质量保证：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1、乙方的产品质量应当符合国家行业规定的标准，并无任何瑕疵。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b w:val="0"/>
          <w:bCs w:val="0"/>
          <w:caps w:val="0"/>
          <w:sz w:val="24"/>
          <w:szCs w:val="24"/>
          <w:highlight w:val="none"/>
          <w:lang w:val="en-US" w:eastAsia="zh-CN"/>
        </w:rPr>
        <w:t>乙方</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所提供的货物截至出具验收单之日时可以按合同要求予以接受，但不能视为</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对货物存在的潜在缺陷责任的解除。此验收不作为对货物内在质量认定的依据。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cs="宋体"/>
          <w:sz w:val="24"/>
          <w:szCs w:val="24"/>
          <w:lang w:val="en-US" w:eastAsia="zh-CN"/>
        </w:rPr>
        <w:t>乙方</w:t>
      </w:r>
      <w:r>
        <w:rPr>
          <w:rFonts w:hint="eastAsia" w:ascii="宋体" w:hAnsi="宋体" w:eastAsia="宋体" w:cs="宋体"/>
          <w:color w:val="000000"/>
          <w:sz w:val="24"/>
          <w:szCs w:val="24"/>
          <w:lang w:val="en-US" w:eastAsia="zh-CN"/>
        </w:rPr>
        <w:t>应按</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lang w:val="en-US" w:eastAsia="zh-CN"/>
        </w:rPr>
        <w:t>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造成的所有经济损失</w:t>
      </w:r>
      <w:r>
        <w:rPr>
          <w:rFonts w:hint="eastAsia" w:ascii="宋体" w:hAnsi="宋体" w:cs="宋体"/>
          <w:sz w:val="24"/>
          <w:szCs w:val="24"/>
          <w:lang w:val="en-US" w:eastAsia="zh-CN"/>
        </w:rPr>
        <w:t>乙方</w:t>
      </w:r>
      <w:r>
        <w:rPr>
          <w:rFonts w:hint="eastAsia" w:ascii="宋体" w:hAnsi="宋体" w:eastAsia="宋体" w:cs="宋体"/>
          <w:color w:val="000000"/>
          <w:sz w:val="24"/>
          <w:szCs w:val="24"/>
        </w:rPr>
        <w:t>应予全额赔偿。</w:t>
      </w:r>
    </w:p>
    <w:p>
      <w:pPr>
        <w:pStyle w:val="2"/>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如</w:t>
      </w:r>
      <w:r>
        <w:rPr>
          <w:rFonts w:hint="eastAsia" w:ascii="宋体" w:hAnsi="宋体" w:cs="宋体"/>
          <w:sz w:val="24"/>
          <w:lang w:val="en-US" w:eastAsia="zh-CN"/>
        </w:rPr>
        <w:t>货物</w:t>
      </w:r>
      <w:r>
        <w:rPr>
          <w:rFonts w:hint="eastAsia" w:ascii="宋体" w:hAnsi="宋体" w:cs="宋体"/>
          <w:sz w:val="24"/>
        </w:rPr>
        <w:t>进场后，需要进行第三方检测、检验（试验）的，相关费用由乙方承担。检测、检验（试验）或货物验收不合格的，视为</w:t>
      </w:r>
      <w:r>
        <w:rPr>
          <w:rFonts w:hint="eastAsia" w:ascii="宋体" w:hAnsi="宋体" w:cs="宋体"/>
          <w:sz w:val="24"/>
          <w:lang w:val="en-US" w:eastAsia="zh-CN"/>
        </w:rPr>
        <w:t>货物</w:t>
      </w:r>
      <w:r>
        <w:rPr>
          <w:rFonts w:hint="eastAsia" w:ascii="宋体" w:hAnsi="宋体" w:cs="宋体"/>
          <w:sz w:val="24"/>
        </w:rPr>
        <w:t>交付未完成，乙方应承担迟延交货的违约责任。</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5、甲方依照法律规定或合同约定退货的，由乙方自行运离。如乙方在3日内不取回货物，视为乙方放弃货物所有权。甲方可在无需支付货款的条件下处置该货物。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、如因该产品本身的质量原因而在使用过程中造成的任何医疗事故纠纷，由乙方全额负责赔偿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、乙方及其工作人员在履行本合同义务过程中，造成其自身或甲方工作人员或任何第三人人身、财产遭受损伤的，均由乙方承担一切法律责任，与甲方无关</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第八条：违约责任：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1、乙方如不能</w:t>
      </w:r>
      <w:r>
        <w:rPr>
          <w:rFonts w:hint="eastAsia" w:ascii="宋体" w:hAnsi="宋体" w:eastAsia="宋体" w:cs="宋体"/>
          <w:color w:val="000000"/>
          <w:sz w:val="24"/>
          <w:szCs w:val="24"/>
          <w:lang w:val="en-US" w:eastAsia="zh-CN"/>
        </w:rPr>
        <w:t>按</w:t>
      </w:r>
      <w:r>
        <w:rPr>
          <w:rFonts w:hint="eastAsia" w:ascii="宋体" w:hAnsi="宋体" w:eastAsia="宋体" w:cs="宋体"/>
          <w:color w:val="000000"/>
          <w:sz w:val="24"/>
          <w:szCs w:val="24"/>
        </w:rPr>
        <w:t>时交货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每</w:t>
      </w:r>
      <w:r>
        <w:rPr>
          <w:rFonts w:hint="eastAsia" w:ascii="宋体" w:hAnsi="宋体" w:eastAsia="宋体" w:cs="宋体"/>
          <w:color w:val="000000"/>
          <w:sz w:val="24"/>
          <w:szCs w:val="24"/>
        </w:rPr>
        <w:t>逾期</w:t>
      </w:r>
      <w:r>
        <w:rPr>
          <w:rFonts w:hint="eastAsia" w:ascii="宋体" w:hAnsi="宋体" w:eastAsia="宋体" w:cs="宋体"/>
          <w:color w:val="000000"/>
          <w:sz w:val="24"/>
          <w:szCs w:val="24"/>
          <w:lang w:val="en-US" w:eastAsia="zh-CN"/>
        </w:rPr>
        <w:t>一日</w:t>
      </w:r>
      <w:r>
        <w:rPr>
          <w:rFonts w:hint="eastAsia" w:ascii="宋体" w:hAnsi="宋体" w:eastAsia="宋体" w:cs="宋体"/>
          <w:color w:val="000000"/>
          <w:sz w:val="24"/>
          <w:szCs w:val="24"/>
        </w:rPr>
        <w:t>，应向甲方支付迟延履行的违约金，每日违约金按逾期交货货款金额</w:t>
      </w:r>
      <w:r>
        <w:rPr>
          <w:rFonts w:hint="eastAsia" w:ascii="宋体" w:hAnsi="宋体" w:cs="宋体"/>
          <w:color w:val="000000"/>
          <w:sz w:val="24"/>
          <w:szCs w:val="24"/>
          <w:lang w:val="en-US" w:eastAsia="zh-CN"/>
        </w:rPr>
        <w:t>千</w:t>
      </w:r>
      <w:r>
        <w:rPr>
          <w:rFonts w:hint="eastAsia" w:ascii="宋体" w:hAnsi="宋体" w:eastAsia="宋体" w:cs="宋体"/>
          <w:color w:val="000000"/>
          <w:sz w:val="24"/>
          <w:szCs w:val="24"/>
        </w:rPr>
        <w:t>分之五计算，</w:t>
      </w:r>
      <w:r>
        <w:rPr>
          <w:rFonts w:hint="eastAsia" w:ascii="宋体" w:hAnsi="宋体" w:eastAsia="宋体" w:cs="宋体"/>
          <w:color w:val="000000"/>
          <w:sz w:val="24"/>
          <w:szCs w:val="24"/>
          <w:lang w:val="en-US" w:eastAsia="zh-CN"/>
        </w:rPr>
        <w:t>乙方逾期交货超过</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日，视为乙方根本违约，甲方有权单方解除合同，解除合同的通知送达乙方之日视为合同已解除，同时乙方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如交付的产品数量、品种、规格、质量不符合国家标准和合同约定的由乙方负责包换、退货，并承担由此给甲方造成的所有经济损失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乙方退换货</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次后货物仍不符合国家标准和合同约定或拒绝退换货的，视为乙方根本违约，甲方有权单方解除合同，解除合同的通知送达乙方之日视为合同已解除，同时乙方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、除前款约定外，乙方未按合同要求提供产品，且质量不能满足技术要求的，甲方有权终止合同，同时要求承担本逾期交货货款金额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违约金不足以弥补损失的，由乙方另行支付</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default" w:eastAsia="宋体"/>
          <w:sz w:val="24"/>
          <w:lang w:val="en-US" w:eastAsia="zh-CN"/>
        </w:rPr>
      </w:pPr>
      <w:r>
        <w:rPr>
          <w:rFonts w:hint="eastAsia" w:ascii="宋体" w:hAnsi="宋体" w:eastAsia="宋体" w:cs="宋体"/>
          <w:color w:val="000000"/>
          <w:sz w:val="24"/>
          <w:szCs w:val="24"/>
        </w:rPr>
        <w:t>4、甲方应当按时向乙方支付货款，逾期付款的，应向乙方支付迟延履行的违约金，每日违约金按逾期付款金额的万分之贰计算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因乙方迟延提供发票导致甲方顺延付款期限的，甲方不承担违约责任</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5、合同约定的其他违约条款。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第九条：不可抗力：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第十条：通知：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甲方：</w:t>
      </w:r>
      <w:r>
        <w:rPr>
          <w:rFonts w:hint="eastAsia" w:ascii="宋体" w:hAnsi="宋体" w:eastAsia="宋体" w:cs="宋体"/>
          <w:color w:val="000000"/>
          <w:sz w:val="24"/>
          <w:szCs w:val="24"/>
        </w:rPr>
        <w:t>陕西中医药大学第二附属医院</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地址：</w:t>
      </w:r>
      <w:r>
        <w:rPr>
          <w:rFonts w:hint="eastAsia" w:ascii="宋体" w:hAnsi="宋体" w:cs="宋体"/>
          <w:color w:val="000000"/>
          <w:kern w:val="2"/>
          <w:sz w:val="24"/>
          <w:szCs w:val="24"/>
          <w:u w:val="none"/>
          <w:lang w:val="en-US" w:eastAsia="zh-CN" w:bidi="ar-SA"/>
        </w:rPr>
        <w:t>陕西省</w:t>
      </w:r>
      <w:r>
        <w:rPr>
          <w:rFonts w:hint="eastAsia" w:ascii="宋体" w:hAnsi="宋体" w:eastAsia="宋体" w:cs="宋体"/>
          <w:color w:val="000000"/>
          <w:kern w:val="2"/>
          <w:sz w:val="24"/>
          <w:szCs w:val="24"/>
          <w:u w:val="none"/>
          <w:lang w:val="en-US" w:eastAsia="zh-CN" w:bidi="ar-SA"/>
        </w:rPr>
        <w:t>咸阳市渭阳西路5号</w:t>
      </w:r>
      <w:r>
        <w:rPr>
          <w:rFonts w:hint="eastAsia" w:ascii="宋体" w:hAnsi="宋体" w:cs="宋体"/>
          <w:color w:val="000000"/>
          <w:kern w:val="2"/>
          <w:sz w:val="24"/>
          <w:szCs w:val="24"/>
          <w:u w:val="none"/>
          <w:lang w:val="en-US" w:eastAsia="zh-CN" w:bidi="ar-SA"/>
        </w:rPr>
        <w:t>（秦都院区）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cs="宋体"/>
          <w:color w:val="000000"/>
          <w:kern w:val="2"/>
          <w:sz w:val="24"/>
          <w:szCs w:val="24"/>
          <w:u w:val="none"/>
          <w:lang w:val="en-US" w:eastAsia="zh-CN" w:bidi="ar-SA"/>
        </w:rPr>
        <w:t xml:space="preserve">      陕西省西咸新区沣西新城龙台观路831号（西咸院区）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32"/>
          <w:szCs w:val="32"/>
          <w:u w:val="single" w:color="auto"/>
          <w:lang w:val="en-US" w:eastAsia="zh-CN"/>
        </w:rPr>
      </w:pPr>
      <w:r>
        <w:rPr>
          <w:rFonts w:hint="eastAsia" w:ascii="宋体" w:hAnsi="宋体" w:eastAsia="宋体" w:cs="宋体"/>
          <w:color w:val="000000"/>
          <w:kern w:val="2"/>
          <w:sz w:val="24"/>
          <w:szCs w:val="24"/>
          <w:u w:val="none"/>
          <w:lang w:val="en-US" w:eastAsia="zh-CN" w:bidi="ar-SA"/>
        </w:rPr>
        <w:t>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地址：</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第十一条：纠纷的解决：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本合同在履行过程中发生的任何争议，</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由甲、乙双方友好协商解决，协商不成的，</w:t>
      </w:r>
      <w:r>
        <w:rPr>
          <w:rFonts w:hint="eastAsia" w:ascii="宋体" w:hAnsi="宋体" w:cs="宋体"/>
          <w:color w:val="000000"/>
          <w:sz w:val="24"/>
          <w:szCs w:val="24"/>
          <w:lang w:eastAsia="zh-CN"/>
        </w:rPr>
        <w:t>甲乙双方任意</w:t>
      </w:r>
      <w:r>
        <w:rPr>
          <w:rFonts w:hint="eastAsia" w:ascii="宋体" w:hAnsi="宋体" w:eastAsia="宋体" w:cs="宋体"/>
          <w:color w:val="000000"/>
          <w:sz w:val="24"/>
          <w:szCs w:val="24"/>
        </w:rPr>
        <w:t>一方有权向甲方所在地人民法院提起诉讼。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第十二条：以下资料为本合同不可分割部分，与本合同具有同等法律效力：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2、投标文件</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default" w:ascii="宋体" w:hAnsi="宋体" w:eastAsia="宋体" w:cs="宋体"/>
          <w:color w:val="000000"/>
          <w:sz w:val="24"/>
          <w:szCs w:val="24"/>
          <w:lang w:val="en-US" w:eastAsia="zh-CN"/>
        </w:rPr>
        <w:t>与</w:t>
      </w:r>
      <w:r>
        <w:rPr>
          <w:rFonts w:hint="eastAsia" w:ascii="宋体" w:hAnsi="宋体" w:eastAsia="宋体" w:cs="宋体"/>
          <w:color w:val="000000"/>
          <w:sz w:val="24"/>
          <w:szCs w:val="24"/>
          <w:lang w:val="en-US" w:eastAsia="zh-CN"/>
        </w:rPr>
        <w:t>本项目有关的其他资料。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份，甲</w:t>
      </w:r>
      <w:r>
        <w:rPr>
          <w:rFonts w:hint="eastAsia" w:ascii="宋体" w:hAnsi="宋体" w:eastAsia="宋体" w:cs="宋体"/>
          <w:color w:val="000000"/>
          <w:sz w:val="24"/>
          <w:szCs w:val="24"/>
          <w:lang w:eastAsia="zh-CN"/>
        </w:rPr>
        <w:t>方执</w:t>
      </w:r>
      <w:r>
        <w:rPr>
          <w:rFonts w:hint="eastAsia" w:ascii="宋体" w:hAnsi="宋体" w:eastAsia="宋体" w:cs="宋体"/>
          <w:color w:val="000000"/>
          <w:sz w:val="24"/>
          <w:szCs w:val="24"/>
        </w:rPr>
        <w:t>贰</w:t>
      </w:r>
      <w:r>
        <w:rPr>
          <w:rFonts w:hint="eastAsia" w:ascii="宋体" w:hAnsi="宋体" w:eastAsia="宋体" w:cs="宋体"/>
          <w:color w:val="000000"/>
          <w:sz w:val="24"/>
          <w:szCs w:val="24"/>
          <w:lang w:eastAsia="zh-CN"/>
        </w:rPr>
        <w:t>份，</w:t>
      </w:r>
      <w:r>
        <w:rPr>
          <w:rFonts w:hint="eastAsia" w:ascii="宋体" w:hAnsi="宋体" w:eastAsia="宋体" w:cs="宋体"/>
          <w:color w:val="000000"/>
          <w:sz w:val="24"/>
          <w:szCs w:val="24"/>
        </w:rPr>
        <w:t>乙方执贰份，均具有同等法律效力。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color w:val="000000"/>
          <w:sz w:val="24"/>
          <w:szCs w:val="24"/>
        </w:rPr>
        <w:t>：本合同未尽事宜，由甲、乙双方另行签订补充协议，补充协议作为</w:t>
      </w:r>
      <w:r>
        <w:rPr>
          <w:rFonts w:hint="eastAsia" w:ascii="宋体" w:hAnsi="宋体" w:cs="宋体"/>
          <w:color w:val="000000"/>
          <w:sz w:val="24"/>
          <w:szCs w:val="24"/>
          <w:lang w:eastAsia="zh-CN"/>
        </w:rPr>
        <w:t>本</w:t>
      </w:r>
      <w:r>
        <w:rPr>
          <w:rFonts w:hint="eastAsia" w:ascii="宋体" w:hAnsi="宋体" w:eastAsia="宋体" w:cs="宋体"/>
          <w:color w:val="000000"/>
          <w:sz w:val="24"/>
          <w:szCs w:val="24"/>
        </w:rPr>
        <w:t>合同附件</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color w:val="000000"/>
          <w:sz w:val="24"/>
          <w:szCs w:val="24"/>
        </w:rPr>
        <w:t>：本合同自甲、乙双方签字并加盖公章之日起生效。</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color w:val="000000"/>
          <w:sz w:val="24"/>
          <w:szCs w:val="24"/>
        </w:rPr>
        <w:t>第十六条</w:t>
      </w:r>
      <w:r>
        <w:rPr>
          <w:rFonts w:hint="eastAsia" w:ascii="宋体" w:hAnsi="宋体" w:eastAsia="宋体" w:cs="宋体"/>
          <w:color w:val="000000"/>
          <w:sz w:val="24"/>
          <w:szCs w:val="24"/>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color w:val="000000"/>
          <w:sz w:val="24"/>
          <w:szCs w:val="24"/>
        </w:rPr>
        <w:t>本合同应当按照中华人民共和国的现行法律、法规进行解释。</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sectPr>
          <w:footerReference r:id="rId10" w:type="default"/>
          <w:pgSz w:w="11906" w:h="16838"/>
          <w:pgMar w:top="1440" w:right="1800" w:bottom="1402" w:left="162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2"/>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spacing w:line="360" w:lineRule="auto"/>
        <w:rPr>
          <w:rFonts w:hint="eastAsia" w:ascii="宋体" w:hAnsi="宋体" w:cs="宋体"/>
          <w:b/>
          <w:color w:val="000000"/>
          <w:sz w:val="24"/>
          <w:szCs w:val="24"/>
          <w:lang w:val="en-US" w:eastAsia="zh-CN"/>
        </w:rPr>
      </w:pPr>
    </w:p>
    <w:p>
      <w:pPr>
        <w:pStyle w:val="2"/>
        <w:spacing w:line="360" w:lineRule="auto"/>
        <w:rPr>
          <w:rFonts w:hint="eastAsia" w:ascii="宋体" w:hAnsi="宋体" w:cs="宋体"/>
          <w:b/>
          <w:color w:val="000000"/>
          <w:sz w:val="24"/>
          <w:szCs w:val="24"/>
          <w:lang w:val="en-US" w:eastAsia="zh-CN"/>
        </w:rPr>
      </w:pPr>
    </w:p>
    <w:p>
      <w:pPr>
        <w:spacing w:line="360" w:lineRule="auto"/>
        <w:rPr>
          <w:rFonts w:hint="eastAsia" w:ascii="宋体" w:hAnsi="宋体" w:cs="宋体"/>
          <w:b/>
          <w:color w:val="000000"/>
          <w:sz w:val="24"/>
          <w:szCs w:val="24"/>
          <w:lang w:val="en-US" w:eastAsia="zh-CN"/>
        </w:rPr>
      </w:pPr>
    </w:p>
    <w:p>
      <w:pPr>
        <w:pStyle w:val="2"/>
        <w:spacing w:line="360" w:lineRule="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30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
          <w:sz w:val="24"/>
          <w:szCs w:val="24"/>
          <w:highlight w:val="none"/>
          <w:u w:val="single"/>
        </w:rPr>
        <w:t>未中标</w:t>
      </w:r>
      <w:r>
        <w:rPr>
          <w:rStyle w:val="31"/>
          <w:rFonts w:hint="eastAsia" w:ascii="宋体" w:hAnsi="宋体" w:eastAsia="宋体" w:cs="宋体"/>
          <w:b/>
          <w:sz w:val="24"/>
          <w:szCs w:val="24"/>
          <w:highlight w:val="none"/>
          <w:u w:val="single"/>
          <w:lang w:val="en-US" w:eastAsia="zh-CN"/>
        </w:rPr>
        <w:t>投标人</w:t>
      </w:r>
      <w:r>
        <w:rPr>
          <w:rStyle w:val="31"/>
          <w:rFonts w:hint="eastAsia" w:ascii="宋体" w:hAnsi="宋体" w:eastAsia="宋体" w:cs="宋体"/>
          <w:b/>
          <w:sz w:val="24"/>
          <w:szCs w:val="24"/>
          <w:highlight w:val="none"/>
          <w:u w:val="single"/>
        </w:rPr>
        <w:t>在</w:t>
      </w:r>
      <w:r>
        <w:rPr>
          <w:rStyle w:val="31"/>
          <w:rFonts w:hint="eastAsia" w:ascii="宋体" w:hAnsi="宋体" w:eastAsia="宋体" w:cs="宋体"/>
          <w:b/>
          <w:sz w:val="24"/>
          <w:szCs w:val="24"/>
          <w:highlight w:val="none"/>
          <w:u w:val="single"/>
          <w:lang w:val="en-US" w:eastAsia="zh-CN"/>
        </w:rPr>
        <w:t>中标公告公示</w:t>
      </w:r>
      <w:r>
        <w:rPr>
          <w:rStyle w:val="31"/>
          <w:rFonts w:hint="eastAsia" w:ascii="宋体" w:hAnsi="宋体" w:eastAsia="宋体" w:cs="宋体"/>
          <w:b/>
          <w:sz w:val="24"/>
          <w:szCs w:val="24"/>
          <w:highlight w:val="none"/>
          <w:u w:val="single"/>
        </w:rPr>
        <w:t>结束后7天内无息全额退还</w:t>
      </w:r>
      <w:r>
        <w:rPr>
          <w:rStyle w:val="31"/>
          <w:rFonts w:hint="eastAsia" w:ascii="宋体" w:hAnsi="宋体" w:eastAsia="宋体" w:cs="宋体"/>
          <w:b/>
          <w:sz w:val="24"/>
          <w:szCs w:val="24"/>
          <w:highlight w:val="none"/>
          <w:u w:val="single"/>
          <w:lang w:eastAsia="zh-CN"/>
        </w:rPr>
        <w:t>。</w:t>
      </w:r>
      <w:r>
        <w:rPr>
          <w:rStyle w:val="31"/>
          <w:rFonts w:hint="eastAsia" w:ascii="宋体" w:hAnsi="宋体" w:eastAsia="宋体" w:cs="宋体"/>
          <w:bCs/>
          <w:sz w:val="24"/>
          <w:szCs w:val="24"/>
          <w:highlight w:val="none"/>
        </w:rPr>
        <w:t>中标</w:t>
      </w:r>
      <w:r>
        <w:rPr>
          <w:rStyle w:val="31"/>
          <w:rFonts w:hint="eastAsia" w:ascii="宋体" w:hAnsi="宋体" w:eastAsia="宋体" w:cs="宋体"/>
          <w:bCs/>
          <w:sz w:val="24"/>
          <w:szCs w:val="24"/>
          <w:highlight w:val="none"/>
          <w:lang w:val="en-US" w:eastAsia="zh-CN"/>
        </w:rPr>
        <w:t>人</w:t>
      </w:r>
      <w:r>
        <w:rPr>
          <w:rStyle w:val="31"/>
          <w:rFonts w:hint="eastAsia" w:ascii="宋体" w:hAnsi="宋体" w:eastAsia="宋体" w:cs="宋体"/>
          <w:bCs/>
          <w:sz w:val="24"/>
          <w:szCs w:val="24"/>
          <w:highlight w:val="none"/>
        </w:rPr>
        <w:t>的投标保证金</w:t>
      </w:r>
      <w:r>
        <w:rPr>
          <w:rStyle w:val="31"/>
          <w:rFonts w:hint="eastAsia" w:ascii="宋体" w:hAnsi="宋体" w:eastAsia="宋体" w:cs="宋体"/>
          <w:bCs/>
          <w:sz w:val="24"/>
          <w:szCs w:val="24"/>
          <w:highlight w:val="none"/>
          <w:lang w:val="en-US" w:eastAsia="zh-CN"/>
        </w:rPr>
        <w:t>在合同签订后7日内无息全额退还</w:t>
      </w:r>
      <w:r>
        <w:rPr>
          <w:rStyle w:val="31"/>
          <w:rFonts w:hint="eastAsia" w:ascii="宋体" w:hAnsi="宋体" w:eastAsia="宋体" w:cs="宋体"/>
          <w:bCs/>
          <w:sz w:val="24"/>
          <w:szCs w:val="24"/>
          <w:highlight w:val="none"/>
        </w:rPr>
        <w:t>。</w:t>
      </w: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SZRFYZB202407-121</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2024-2025年一次性用品采购项目</w:t>
      </w: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第四部分：</w:t>
      </w:r>
      <w:r>
        <w:rPr>
          <w:rStyle w:val="31"/>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eastAsia="zh-CN"/>
        </w:rPr>
        <w:t>第</w:t>
      </w:r>
      <w:r>
        <w:rPr>
          <w:rStyle w:val="31"/>
          <w:rFonts w:hint="eastAsia" w:ascii="宋体" w:hAnsi="宋体" w:eastAsia="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eastAsia="zh-CN"/>
        </w:rPr>
        <w:t>部分：</w:t>
      </w:r>
      <w:r>
        <w:rPr>
          <w:rStyle w:val="31"/>
          <w:rFonts w:hint="eastAsia" w:ascii="宋体" w:hAnsi="宋体" w:eastAsia="宋体" w:cs="宋体"/>
          <w:color w:val="000000"/>
          <w:kern w:val="0"/>
          <w:sz w:val="28"/>
          <w:szCs w:val="28"/>
          <w:highlight w:val="none"/>
        </w:rPr>
        <w:t>法定代表人授权</w:t>
      </w:r>
      <w:r>
        <w:rPr>
          <w:rStyle w:val="31"/>
          <w:rFonts w:hint="eastAsia" w:ascii="宋体" w:hAnsi="宋体" w:eastAsia="宋体" w:cs="宋体"/>
          <w:color w:val="000000"/>
          <w:kern w:val="0"/>
          <w:sz w:val="28"/>
          <w:szCs w:val="28"/>
          <w:highlight w:val="none"/>
          <w:lang w:val="en-US" w:eastAsia="zh-CN"/>
        </w:rPr>
        <w:t>委托</w:t>
      </w:r>
      <w:r>
        <w:rPr>
          <w:rStyle w:val="31"/>
          <w:rFonts w:hint="eastAsia" w:ascii="宋体" w:hAnsi="宋体" w:eastAsia="宋体" w:cs="宋体"/>
          <w:color w:val="000000"/>
          <w:kern w:val="0"/>
          <w:sz w:val="28"/>
          <w:szCs w:val="28"/>
          <w:highlight w:val="none"/>
        </w:rPr>
        <w:t>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八</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eastAsia" w:ascii="宋体" w:hAnsi="宋体" w:eastAsia="宋体" w:cs="宋体"/>
          <w:sz w:val="28"/>
          <w:szCs w:val="28"/>
          <w:highlight w:val="none"/>
          <w:lang w:val="en-US" w:eastAsia="zh-CN"/>
        </w:rPr>
      </w:pPr>
      <w:r>
        <w:rPr>
          <w:rStyle w:val="31"/>
          <w:rFonts w:hint="eastAsia" w:ascii="宋体" w:hAnsi="宋体" w:eastAsia="宋体" w:cs="宋体"/>
          <w:color w:val="000000"/>
          <w:kern w:val="0"/>
          <w:sz w:val="28"/>
          <w:szCs w:val="28"/>
          <w:highlight w:val="none"/>
          <w:lang w:val="en-US" w:eastAsia="zh-CN"/>
        </w:rPr>
        <w:t>第九部分：对招标文件及合同条款的承诺及补充意见</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2024-2025年一次性用品采购项目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SZRFYZB202407-121</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公开招标文件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lang w:val="en-US" w:eastAsia="zh-CN"/>
        </w:rPr>
        <w:t>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中的一切要求，提供相应服务</w:t>
      </w:r>
      <w:r>
        <w:rPr>
          <w:rStyle w:val="31"/>
          <w:rFonts w:hint="eastAsia" w:ascii="宋体" w:hAnsi="宋体" w:eastAsia="宋体" w:cs="宋体"/>
          <w:sz w:val="24"/>
          <w:szCs w:val="24"/>
          <w:highlight w:val="none"/>
          <w:lang w:val="en-US" w:eastAsia="zh-CN"/>
        </w:rPr>
        <w:t>及</w:t>
      </w:r>
      <w:r>
        <w:rPr>
          <w:rStyle w:val="31"/>
          <w:rFonts w:hint="eastAsia" w:ascii="宋体" w:hAnsi="宋体" w:eastAsia="宋体" w:cs="宋体"/>
          <w:sz w:val="24"/>
          <w:szCs w:val="24"/>
          <w:highlight w:val="none"/>
        </w:rPr>
        <w:t>完成合同的责任和义务。</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电子版投标文件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已详细阅读了本项目</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同意向贵</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提供可能要求的、与本次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在</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截止递交时间之后</w:t>
      </w:r>
      <w:r>
        <w:rPr>
          <w:rStyle w:val="31"/>
          <w:rFonts w:hint="eastAsia" w:ascii="宋体" w:hAnsi="宋体" w:eastAsia="宋体" w:cs="宋体"/>
          <w:sz w:val="24"/>
          <w:szCs w:val="24"/>
          <w:highlight w:val="none"/>
          <w:u w:val="single"/>
        </w:rPr>
        <w:t xml:space="preserve">   </w:t>
      </w:r>
      <w:r>
        <w:rPr>
          <w:rStyle w:val="31"/>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完全接受并响应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、答疑文件、评审办法、采购预算及限价等关于本项目相关文件的要求，严格遵守</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9.所有关于本次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授权代表：</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numPr>
          <w:ilvl w:val="0"/>
          <w:numId w:val="3"/>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pPr>
        <w:pStyle w:val="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bookmarkStart w:id="8" w:name="_Toc194663926"/>
      <w:bookmarkStart w:id="9" w:name="_Toc188808840"/>
      <w:bookmarkStart w:id="10" w:name="_Toc193126889"/>
      <w:bookmarkStart w:id="11"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2024-2025年一次性用品采购项目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SZRFYZB202407-121</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sectPr>
          <w:headerReference r:id="rId11" w:type="first"/>
          <w:footerReference r:id="rId13" w:type="firs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rPr>
          <w:rFonts w:hint="eastAsia"/>
          <w:lang w:val="en-US" w:eastAsia="zh-CN"/>
        </w:rPr>
      </w:pPr>
    </w:p>
    <w:p>
      <w:pPr>
        <w:pStyle w:val="2"/>
        <w:numPr>
          <w:ilvl w:val="0"/>
          <w:numId w:val="4"/>
        </w:numPr>
        <w:spacing w:line="360" w:lineRule="auto"/>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分项报价表</w:t>
      </w:r>
    </w:p>
    <w:tbl>
      <w:tblPr>
        <w:tblStyle w:val="20"/>
        <w:tblpPr w:leftFromText="180" w:rightFromText="180" w:vertAnchor="text" w:horzAnchor="page" w:tblpXSpec="center" w:tblpY="42"/>
        <w:tblOverlap w:val="never"/>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682"/>
        <w:gridCol w:w="1215"/>
        <w:gridCol w:w="1725"/>
        <w:gridCol w:w="840"/>
        <w:gridCol w:w="1559"/>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682" w:type="dxa"/>
            <w:noWrap w:val="0"/>
            <w:vAlign w:val="center"/>
          </w:tcPr>
          <w:p>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品名</w:t>
            </w:r>
          </w:p>
        </w:tc>
        <w:tc>
          <w:tcPr>
            <w:tcW w:w="1215" w:type="dxa"/>
            <w:noWrap w:val="0"/>
            <w:vAlign w:val="center"/>
          </w:tcPr>
          <w:p>
            <w:pPr>
              <w:bidi w:val="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品牌</w:t>
            </w:r>
            <w:bookmarkStart w:id="56" w:name="_GoBack"/>
            <w:bookmarkEnd w:id="56"/>
          </w:p>
        </w:tc>
        <w:tc>
          <w:tcPr>
            <w:tcW w:w="1725" w:type="dxa"/>
            <w:noWrap w:val="0"/>
            <w:vAlign w:val="center"/>
          </w:tcPr>
          <w:p>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w:t>
            </w:r>
          </w:p>
        </w:tc>
        <w:tc>
          <w:tcPr>
            <w:tcW w:w="840" w:type="dxa"/>
            <w:noWrap w:val="0"/>
            <w:vAlign w:val="center"/>
          </w:tcPr>
          <w:p>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559" w:type="dxa"/>
            <w:noWrap w:val="0"/>
            <w:vAlign w:val="center"/>
          </w:tcPr>
          <w:p>
            <w:pPr>
              <w:bidi w:val="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单价</w:t>
            </w:r>
            <w:r>
              <w:rPr>
                <w:rFonts w:hint="eastAsia" w:ascii="宋体" w:hAnsi="宋体" w:eastAsia="宋体" w:cs="宋体"/>
                <w:b/>
                <w:bCs/>
                <w:color w:val="auto"/>
                <w:sz w:val="24"/>
                <w:szCs w:val="24"/>
                <w:highlight w:val="none"/>
                <w:lang w:val="en-US" w:eastAsia="zh-CN"/>
              </w:rPr>
              <w:t>（元）</w:t>
            </w:r>
          </w:p>
        </w:tc>
        <w:tc>
          <w:tcPr>
            <w:tcW w:w="2121" w:type="dxa"/>
            <w:noWrap w:val="0"/>
            <w:vAlign w:val="center"/>
          </w:tcPr>
          <w:p>
            <w:pPr>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1</w:t>
            </w:r>
          </w:p>
        </w:tc>
        <w:tc>
          <w:tcPr>
            <w:tcW w:w="1682"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*被服包</w:t>
            </w:r>
          </w:p>
        </w:tc>
        <w:tc>
          <w:tcPr>
            <w:tcW w:w="1215" w:type="dxa"/>
            <w:noWrap w:val="0"/>
            <w:vAlign w:val="center"/>
          </w:tcPr>
          <w:p>
            <w:pPr>
              <w:jc w:val="center"/>
              <w:rPr>
                <w:rFonts w:hint="eastAsia" w:ascii="宋体" w:hAnsi="宋体" w:eastAsia="宋体" w:cs="宋体"/>
                <w:color w:val="auto"/>
                <w:sz w:val="24"/>
                <w:szCs w:val="24"/>
                <w:highlight w:val="none"/>
                <w:lang w:val="en-US" w:eastAsia="zh-CN"/>
              </w:rPr>
            </w:pPr>
          </w:p>
        </w:tc>
        <w:tc>
          <w:tcPr>
            <w:tcW w:w="1725" w:type="dxa"/>
            <w:noWrap w:val="0"/>
            <w:vAlign w:val="center"/>
          </w:tcPr>
          <w:p>
            <w:pPr>
              <w:jc w:val="center"/>
              <w:rPr>
                <w:rFonts w:hint="eastAsia" w:ascii="宋体" w:hAnsi="宋体" w:eastAsia="宋体" w:cs="宋体"/>
                <w:color w:val="auto"/>
                <w:sz w:val="24"/>
                <w:szCs w:val="24"/>
                <w:highlight w:val="none"/>
                <w:lang w:val="en-US" w:eastAsia="zh-CN"/>
              </w:rPr>
            </w:pPr>
          </w:p>
        </w:tc>
        <w:tc>
          <w:tcPr>
            <w:tcW w:w="840"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lang w:val="en-US" w:eastAsia="zh-CN"/>
              </w:rPr>
              <w:t>包</w:t>
            </w:r>
          </w:p>
        </w:tc>
        <w:tc>
          <w:tcPr>
            <w:tcW w:w="1559" w:type="dxa"/>
            <w:noWrap w:val="0"/>
            <w:vAlign w:val="center"/>
          </w:tcPr>
          <w:p>
            <w:pPr>
              <w:bidi w:val="0"/>
              <w:jc w:val="center"/>
              <w:rPr>
                <w:rFonts w:hint="eastAsia" w:ascii="宋体" w:hAnsi="宋体" w:eastAsia="宋体" w:cs="宋体"/>
                <w:color w:val="auto"/>
                <w:sz w:val="24"/>
                <w:szCs w:val="24"/>
                <w:highlight w:val="none"/>
                <w:lang w:val="en-US" w:eastAsia="zh-CN"/>
              </w:rPr>
            </w:pPr>
          </w:p>
        </w:tc>
        <w:tc>
          <w:tcPr>
            <w:tcW w:w="2121" w:type="dxa"/>
            <w:noWrap w:val="0"/>
            <w:vAlign w:val="center"/>
          </w:tcPr>
          <w:p>
            <w:pPr>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2</w:t>
            </w:r>
          </w:p>
        </w:tc>
        <w:tc>
          <w:tcPr>
            <w:tcW w:w="1682"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床罩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小</w:t>
            </w:r>
            <w:r>
              <w:rPr>
                <w:rFonts w:hint="eastAsia" w:ascii="宋体" w:hAnsi="宋体" w:eastAsia="宋体" w:cs="宋体"/>
                <w:color w:val="000000"/>
                <w:sz w:val="24"/>
                <w:szCs w:val="24"/>
                <w:lang w:eastAsia="zh-CN"/>
              </w:rPr>
              <w:t>）</w:t>
            </w:r>
          </w:p>
        </w:tc>
        <w:tc>
          <w:tcPr>
            <w:tcW w:w="1215" w:type="dxa"/>
            <w:noWrap w:val="0"/>
            <w:vAlign w:val="center"/>
          </w:tcPr>
          <w:p>
            <w:pPr>
              <w:jc w:val="center"/>
              <w:rPr>
                <w:rFonts w:hint="eastAsia" w:ascii="宋体" w:hAnsi="宋体" w:eastAsia="宋体" w:cs="宋体"/>
                <w:color w:val="auto"/>
                <w:sz w:val="24"/>
                <w:szCs w:val="24"/>
                <w:highlight w:val="none"/>
                <w:lang w:val="en-US" w:eastAsia="zh-CN"/>
              </w:rPr>
            </w:pPr>
          </w:p>
        </w:tc>
        <w:tc>
          <w:tcPr>
            <w:tcW w:w="1725" w:type="dxa"/>
            <w:noWrap w:val="0"/>
            <w:vAlign w:val="center"/>
          </w:tcPr>
          <w:p>
            <w:pPr>
              <w:jc w:val="center"/>
              <w:rPr>
                <w:rFonts w:hint="eastAsia" w:ascii="宋体" w:hAnsi="宋体" w:eastAsia="宋体" w:cs="宋体"/>
                <w:color w:val="auto"/>
                <w:sz w:val="24"/>
                <w:szCs w:val="24"/>
                <w:highlight w:val="none"/>
                <w:lang w:val="en-US" w:eastAsia="zh-CN"/>
              </w:rPr>
            </w:pPr>
          </w:p>
        </w:tc>
        <w:tc>
          <w:tcPr>
            <w:tcW w:w="840"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lang w:val="en-US" w:eastAsia="zh-CN"/>
              </w:rPr>
              <w:t>张</w:t>
            </w:r>
          </w:p>
        </w:tc>
        <w:tc>
          <w:tcPr>
            <w:tcW w:w="1559" w:type="dxa"/>
            <w:noWrap w:val="0"/>
            <w:vAlign w:val="center"/>
          </w:tcPr>
          <w:p>
            <w:pPr>
              <w:bidi w:val="0"/>
              <w:jc w:val="center"/>
              <w:rPr>
                <w:rFonts w:hint="eastAsia" w:ascii="宋体" w:hAnsi="宋体" w:eastAsia="宋体" w:cs="宋体"/>
                <w:color w:val="auto"/>
                <w:sz w:val="24"/>
                <w:szCs w:val="24"/>
                <w:highlight w:val="none"/>
                <w:lang w:val="en-US" w:eastAsia="zh-CN"/>
              </w:rPr>
            </w:pPr>
          </w:p>
        </w:tc>
        <w:tc>
          <w:tcPr>
            <w:tcW w:w="2121" w:type="dxa"/>
            <w:noWrap w:val="0"/>
            <w:vAlign w:val="center"/>
          </w:tcPr>
          <w:p>
            <w:pPr>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3</w:t>
            </w:r>
          </w:p>
        </w:tc>
        <w:tc>
          <w:tcPr>
            <w:tcW w:w="1682"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床罩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中</w:t>
            </w:r>
            <w:r>
              <w:rPr>
                <w:rFonts w:hint="eastAsia" w:ascii="宋体" w:hAnsi="宋体" w:eastAsia="宋体" w:cs="宋体"/>
                <w:color w:val="000000"/>
                <w:sz w:val="24"/>
                <w:szCs w:val="24"/>
                <w:lang w:eastAsia="zh-CN"/>
              </w:rPr>
              <w:t>）</w:t>
            </w:r>
          </w:p>
        </w:tc>
        <w:tc>
          <w:tcPr>
            <w:tcW w:w="1215" w:type="dxa"/>
            <w:noWrap w:val="0"/>
            <w:vAlign w:val="center"/>
          </w:tcPr>
          <w:p>
            <w:pPr>
              <w:jc w:val="center"/>
              <w:rPr>
                <w:rFonts w:hint="eastAsia" w:ascii="宋体" w:hAnsi="宋体" w:eastAsia="宋体" w:cs="宋体"/>
                <w:color w:val="auto"/>
                <w:sz w:val="24"/>
                <w:szCs w:val="24"/>
                <w:highlight w:val="none"/>
                <w:lang w:val="en-US" w:eastAsia="zh-CN"/>
              </w:rPr>
            </w:pPr>
          </w:p>
        </w:tc>
        <w:tc>
          <w:tcPr>
            <w:tcW w:w="1725" w:type="dxa"/>
            <w:noWrap w:val="0"/>
            <w:vAlign w:val="center"/>
          </w:tcPr>
          <w:p>
            <w:pPr>
              <w:jc w:val="center"/>
              <w:rPr>
                <w:rFonts w:hint="eastAsia" w:ascii="宋体" w:hAnsi="宋体" w:eastAsia="宋体" w:cs="宋体"/>
                <w:color w:val="auto"/>
                <w:sz w:val="24"/>
                <w:szCs w:val="24"/>
                <w:highlight w:val="none"/>
                <w:lang w:val="en-US" w:eastAsia="zh-CN"/>
              </w:rPr>
            </w:pPr>
          </w:p>
        </w:tc>
        <w:tc>
          <w:tcPr>
            <w:tcW w:w="840"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rPr>
              <w:t>张</w:t>
            </w:r>
          </w:p>
        </w:tc>
        <w:tc>
          <w:tcPr>
            <w:tcW w:w="1559" w:type="dxa"/>
            <w:noWrap w:val="0"/>
            <w:vAlign w:val="center"/>
          </w:tcPr>
          <w:p>
            <w:pPr>
              <w:bidi w:val="0"/>
              <w:jc w:val="center"/>
              <w:rPr>
                <w:rFonts w:hint="eastAsia" w:ascii="宋体" w:hAnsi="宋体" w:eastAsia="宋体" w:cs="宋体"/>
                <w:color w:val="auto"/>
                <w:sz w:val="24"/>
                <w:szCs w:val="24"/>
                <w:highlight w:val="none"/>
                <w:lang w:val="en-US" w:eastAsia="zh-CN"/>
              </w:rPr>
            </w:pPr>
          </w:p>
        </w:tc>
        <w:tc>
          <w:tcPr>
            <w:tcW w:w="2121" w:type="dxa"/>
            <w:noWrap w:val="0"/>
            <w:vAlign w:val="center"/>
          </w:tcPr>
          <w:p>
            <w:pPr>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4</w:t>
            </w:r>
          </w:p>
        </w:tc>
        <w:tc>
          <w:tcPr>
            <w:tcW w:w="1682"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床罩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大</w:t>
            </w:r>
            <w:r>
              <w:rPr>
                <w:rFonts w:hint="eastAsia" w:ascii="宋体" w:hAnsi="宋体" w:eastAsia="宋体" w:cs="宋体"/>
                <w:color w:val="000000"/>
                <w:sz w:val="24"/>
                <w:szCs w:val="24"/>
                <w:lang w:eastAsia="zh-CN"/>
              </w:rPr>
              <w:t>）</w:t>
            </w:r>
          </w:p>
        </w:tc>
        <w:tc>
          <w:tcPr>
            <w:tcW w:w="1215" w:type="dxa"/>
            <w:noWrap w:val="0"/>
            <w:vAlign w:val="center"/>
          </w:tcPr>
          <w:p>
            <w:pPr>
              <w:jc w:val="center"/>
              <w:rPr>
                <w:rFonts w:hint="eastAsia" w:ascii="宋体" w:hAnsi="宋体" w:eastAsia="宋体" w:cs="宋体"/>
                <w:color w:val="auto"/>
                <w:sz w:val="24"/>
                <w:szCs w:val="24"/>
                <w:highlight w:val="none"/>
                <w:lang w:val="en-US" w:eastAsia="zh-CN"/>
              </w:rPr>
            </w:pPr>
          </w:p>
        </w:tc>
        <w:tc>
          <w:tcPr>
            <w:tcW w:w="1725" w:type="dxa"/>
            <w:noWrap w:val="0"/>
            <w:vAlign w:val="center"/>
          </w:tcPr>
          <w:p>
            <w:pPr>
              <w:jc w:val="center"/>
              <w:rPr>
                <w:rFonts w:hint="eastAsia" w:ascii="宋体" w:hAnsi="宋体" w:eastAsia="宋体" w:cs="宋体"/>
                <w:color w:val="auto"/>
                <w:sz w:val="24"/>
                <w:szCs w:val="24"/>
                <w:highlight w:val="none"/>
                <w:lang w:val="en-US" w:eastAsia="zh-CN"/>
              </w:rPr>
            </w:pPr>
          </w:p>
        </w:tc>
        <w:tc>
          <w:tcPr>
            <w:tcW w:w="84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个</w:t>
            </w:r>
          </w:p>
        </w:tc>
        <w:tc>
          <w:tcPr>
            <w:tcW w:w="1559" w:type="dxa"/>
            <w:noWrap w:val="0"/>
            <w:vAlign w:val="center"/>
          </w:tcPr>
          <w:p>
            <w:pPr>
              <w:bidi w:val="0"/>
              <w:jc w:val="center"/>
              <w:rPr>
                <w:rFonts w:hint="eastAsia" w:ascii="宋体" w:hAnsi="宋体" w:eastAsia="宋体" w:cs="宋体"/>
                <w:color w:val="auto"/>
                <w:sz w:val="24"/>
                <w:szCs w:val="24"/>
                <w:highlight w:val="none"/>
                <w:lang w:val="en-US" w:eastAsia="zh-CN"/>
              </w:rPr>
            </w:pPr>
          </w:p>
        </w:tc>
        <w:tc>
          <w:tcPr>
            <w:tcW w:w="2121" w:type="dxa"/>
            <w:noWrap w:val="0"/>
            <w:vAlign w:val="center"/>
          </w:tcPr>
          <w:p>
            <w:pPr>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5</w:t>
            </w:r>
          </w:p>
        </w:tc>
        <w:tc>
          <w:tcPr>
            <w:tcW w:w="1682"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床刷套</w:t>
            </w:r>
          </w:p>
        </w:tc>
        <w:tc>
          <w:tcPr>
            <w:tcW w:w="1215" w:type="dxa"/>
            <w:noWrap w:val="0"/>
            <w:vAlign w:val="center"/>
          </w:tcPr>
          <w:p>
            <w:pPr>
              <w:jc w:val="center"/>
              <w:rPr>
                <w:rFonts w:hint="eastAsia" w:ascii="宋体" w:hAnsi="宋体" w:eastAsia="宋体" w:cs="宋体"/>
                <w:color w:val="auto"/>
                <w:sz w:val="24"/>
                <w:szCs w:val="24"/>
                <w:highlight w:val="none"/>
              </w:rPr>
            </w:pPr>
          </w:p>
        </w:tc>
        <w:tc>
          <w:tcPr>
            <w:tcW w:w="1725" w:type="dxa"/>
            <w:noWrap w:val="0"/>
            <w:vAlign w:val="center"/>
          </w:tcPr>
          <w:p>
            <w:pPr>
              <w:jc w:val="center"/>
              <w:rPr>
                <w:rFonts w:hint="eastAsia" w:ascii="宋体" w:hAnsi="宋体" w:eastAsia="宋体" w:cs="宋体"/>
                <w:color w:val="auto"/>
                <w:sz w:val="24"/>
                <w:szCs w:val="24"/>
                <w:highlight w:val="none"/>
              </w:rPr>
            </w:pPr>
          </w:p>
        </w:tc>
        <w:tc>
          <w:tcPr>
            <w:tcW w:w="84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个</w:t>
            </w:r>
          </w:p>
        </w:tc>
        <w:tc>
          <w:tcPr>
            <w:tcW w:w="1559" w:type="dxa"/>
            <w:noWrap w:val="0"/>
            <w:vAlign w:val="center"/>
          </w:tcPr>
          <w:p>
            <w:pPr>
              <w:bidi w:val="0"/>
              <w:jc w:val="center"/>
              <w:rPr>
                <w:rFonts w:hint="eastAsia" w:ascii="宋体" w:hAnsi="宋体" w:eastAsia="宋体" w:cs="宋体"/>
                <w:color w:val="auto"/>
                <w:sz w:val="24"/>
                <w:szCs w:val="24"/>
                <w:highlight w:val="none"/>
                <w:lang w:val="en-US" w:eastAsia="zh-CN"/>
              </w:rPr>
            </w:pPr>
          </w:p>
        </w:tc>
        <w:tc>
          <w:tcPr>
            <w:tcW w:w="2121" w:type="dxa"/>
            <w:noWrap w:val="0"/>
            <w:vAlign w:val="center"/>
          </w:tcPr>
          <w:p>
            <w:pPr>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6</w:t>
            </w:r>
          </w:p>
        </w:tc>
        <w:tc>
          <w:tcPr>
            <w:tcW w:w="1682"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000000"/>
                <w:sz w:val="24"/>
                <w:szCs w:val="24"/>
                <w:lang w:val="en-US" w:eastAsia="zh-CN"/>
              </w:rPr>
              <w:t>利器盒</w:t>
            </w:r>
          </w:p>
        </w:tc>
        <w:tc>
          <w:tcPr>
            <w:tcW w:w="1215"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725"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840"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个</w:t>
            </w:r>
          </w:p>
        </w:tc>
        <w:tc>
          <w:tcPr>
            <w:tcW w:w="1559" w:type="dxa"/>
            <w:noWrap w:val="0"/>
            <w:vAlign w:val="center"/>
          </w:tcPr>
          <w:p>
            <w:pPr>
              <w:bidi w:val="0"/>
              <w:jc w:val="center"/>
              <w:rPr>
                <w:rFonts w:hint="eastAsia" w:ascii="宋体" w:hAnsi="宋体" w:eastAsia="宋体" w:cs="宋体"/>
                <w:color w:val="auto"/>
                <w:sz w:val="24"/>
                <w:szCs w:val="24"/>
                <w:highlight w:val="none"/>
                <w:lang w:val="en-US" w:eastAsia="zh-CN"/>
              </w:rPr>
            </w:pPr>
          </w:p>
        </w:tc>
        <w:tc>
          <w:tcPr>
            <w:tcW w:w="2121" w:type="dxa"/>
            <w:vMerge w:val="restart"/>
            <w:noWrap w:val="0"/>
            <w:vAlign w:val="center"/>
          </w:tcPr>
          <w:p>
            <w:pPr>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7</w:t>
            </w:r>
          </w:p>
        </w:tc>
        <w:tc>
          <w:tcPr>
            <w:tcW w:w="1682"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lang w:val="en-US" w:eastAsia="zh-CN"/>
              </w:rPr>
              <w:t>利器盒</w:t>
            </w:r>
          </w:p>
        </w:tc>
        <w:tc>
          <w:tcPr>
            <w:tcW w:w="1215"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725"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840"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个</w:t>
            </w:r>
          </w:p>
        </w:tc>
        <w:tc>
          <w:tcPr>
            <w:tcW w:w="1559" w:type="dxa"/>
            <w:noWrap w:val="0"/>
            <w:vAlign w:val="center"/>
          </w:tcPr>
          <w:p>
            <w:pPr>
              <w:bidi w:val="0"/>
              <w:jc w:val="center"/>
              <w:rPr>
                <w:rFonts w:hint="eastAsia" w:ascii="宋体" w:hAnsi="宋体" w:eastAsia="宋体" w:cs="宋体"/>
                <w:color w:val="auto"/>
                <w:sz w:val="24"/>
                <w:szCs w:val="24"/>
                <w:highlight w:val="none"/>
                <w:lang w:val="en-US" w:eastAsia="zh-CN"/>
              </w:rPr>
            </w:pPr>
          </w:p>
        </w:tc>
        <w:tc>
          <w:tcPr>
            <w:tcW w:w="2121" w:type="dxa"/>
            <w:vMerge w:val="continue"/>
            <w:noWrap w:val="0"/>
            <w:vAlign w:val="center"/>
          </w:tcPr>
          <w:p>
            <w:pPr>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8</w:t>
            </w:r>
          </w:p>
        </w:tc>
        <w:tc>
          <w:tcPr>
            <w:tcW w:w="1682"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lang w:val="en-US" w:eastAsia="zh-CN"/>
              </w:rPr>
              <w:t>*利器盒</w:t>
            </w:r>
          </w:p>
        </w:tc>
        <w:tc>
          <w:tcPr>
            <w:tcW w:w="1215"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725"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840"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个</w:t>
            </w:r>
          </w:p>
        </w:tc>
        <w:tc>
          <w:tcPr>
            <w:tcW w:w="1559" w:type="dxa"/>
            <w:noWrap w:val="0"/>
            <w:vAlign w:val="center"/>
          </w:tcPr>
          <w:p>
            <w:pPr>
              <w:bidi w:val="0"/>
              <w:jc w:val="center"/>
              <w:rPr>
                <w:rFonts w:hint="eastAsia" w:ascii="宋体" w:hAnsi="宋体" w:eastAsia="宋体" w:cs="宋体"/>
                <w:color w:val="auto"/>
                <w:sz w:val="24"/>
                <w:szCs w:val="24"/>
                <w:highlight w:val="none"/>
                <w:lang w:val="en-US" w:eastAsia="zh-CN"/>
              </w:rPr>
            </w:pPr>
          </w:p>
        </w:tc>
        <w:tc>
          <w:tcPr>
            <w:tcW w:w="2121" w:type="dxa"/>
            <w:vMerge w:val="continue"/>
            <w:noWrap w:val="0"/>
            <w:vAlign w:val="center"/>
          </w:tcPr>
          <w:p>
            <w:pPr>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9</w:t>
            </w:r>
          </w:p>
        </w:tc>
        <w:tc>
          <w:tcPr>
            <w:tcW w:w="1682"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lang w:val="en-US" w:eastAsia="zh-CN"/>
              </w:rPr>
              <w:t>利器盒</w:t>
            </w:r>
          </w:p>
        </w:tc>
        <w:tc>
          <w:tcPr>
            <w:tcW w:w="1215"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725"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840"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个</w:t>
            </w:r>
          </w:p>
        </w:tc>
        <w:tc>
          <w:tcPr>
            <w:tcW w:w="1559" w:type="dxa"/>
            <w:noWrap w:val="0"/>
            <w:vAlign w:val="center"/>
          </w:tcPr>
          <w:p>
            <w:pPr>
              <w:bidi w:val="0"/>
              <w:jc w:val="center"/>
              <w:rPr>
                <w:rFonts w:hint="eastAsia" w:ascii="宋体" w:hAnsi="宋体" w:eastAsia="宋体" w:cs="宋体"/>
                <w:color w:val="auto"/>
                <w:sz w:val="24"/>
                <w:szCs w:val="24"/>
                <w:highlight w:val="none"/>
                <w:lang w:val="en-US" w:eastAsia="zh-CN"/>
              </w:rPr>
            </w:pPr>
          </w:p>
        </w:tc>
        <w:tc>
          <w:tcPr>
            <w:tcW w:w="2121" w:type="dxa"/>
            <w:vMerge w:val="continue"/>
            <w:noWrap w:val="0"/>
            <w:vAlign w:val="center"/>
          </w:tcPr>
          <w:p>
            <w:pPr>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10</w:t>
            </w:r>
          </w:p>
        </w:tc>
        <w:tc>
          <w:tcPr>
            <w:tcW w:w="1682"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lang w:val="en-US" w:eastAsia="zh-CN"/>
              </w:rPr>
              <w:t>利器盒</w:t>
            </w:r>
          </w:p>
        </w:tc>
        <w:tc>
          <w:tcPr>
            <w:tcW w:w="1215"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725"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840"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个</w:t>
            </w:r>
          </w:p>
        </w:tc>
        <w:tc>
          <w:tcPr>
            <w:tcW w:w="1559" w:type="dxa"/>
            <w:noWrap w:val="0"/>
            <w:vAlign w:val="center"/>
          </w:tcPr>
          <w:p>
            <w:pPr>
              <w:bidi w:val="0"/>
              <w:jc w:val="center"/>
              <w:rPr>
                <w:rFonts w:hint="eastAsia" w:ascii="宋体" w:hAnsi="宋体" w:eastAsia="宋体" w:cs="宋体"/>
                <w:color w:val="auto"/>
                <w:sz w:val="24"/>
                <w:szCs w:val="24"/>
                <w:highlight w:val="none"/>
                <w:lang w:val="en-US" w:eastAsia="zh-CN"/>
              </w:rPr>
            </w:pPr>
          </w:p>
        </w:tc>
        <w:tc>
          <w:tcPr>
            <w:tcW w:w="2121" w:type="dxa"/>
            <w:vMerge w:val="continue"/>
            <w:noWrap w:val="0"/>
            <w:vAlign w:val="center"/>
          </w:tcPr>
          <w:p>
            <w:pPr>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08" w:type="dxa"/>
            <w:gridSpan w:val="5"/>
            <w:noWrap w:val="0"/>
            <w:vAlign w:val="center"/>
          </w:tcPr>
          <w:p>
            <w:pPr>
              <w:bidi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tc>
        <w:tc>
          <w:tcPr>
            <w:tcW w:w="1559" w:type="dxa"/>
            <w:noWrap w:val="0"/>
            <w:vAlign w:val="center"/>
          </w:tcPr>
          <w:p>
            <w:pPr>
              <w:bidi w:val="0"/>
              <w:jc w:val="center"/>
              <w:rPr>
                <w:rFonts w:hint="eastAsia" w:ascii="宋体" w:hAnsi="宋体" w:eastAsia="宋体" w:cs="宋体"/>
                <w:color w:val="auto"/>
                <w:sz w:val="24"/>
                <w:szCs w:val="24"/>
                <w:highlight w:val="none"/>
                <w:lang w:val="en-US" w:eastAsia="zh-CN"/>
              </w:rPr>
            </w:pPr>
          </w:p>
        </w:tc>
        <w:tc>
          <w:tcPr>
            <w:tcW w:w="2121" w:type="dxa"/>
            <w:noWrap w:val="0"/>
            <w:vAlign w:val="center"/>
          </w:tcPr>
          <w:p>
            <w:pPr>
              <w:bidi w:val="0"/>
              <w:jc w:val="center"/>
              <w:rPr>
                <w:rFonts w:hint="eastAsia" w:ascii="宋体" w:hAnsi="宋体" w:eastAsia="宋体" w:cs="宋体"/>
                <w:color w:val="auto"/>
                <w:sz w:val="24"/>
                <w:szCs w:val="24"/>
                <w:highlight w:val="none"/>
                <w:lang w:val="en-US" w:eastAsia="zh-CN"/>
              </w:rPr>
            </w:pPr>
          </w:p>
        </w:tc>
      </w:tr>
    </w:tbl>
    <w:p>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2.该表中包含</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eastAsia="宋体" w:cs="宋体"/>
          <w:color w:val="auto"/>
          <w:sz w:val="24"/>
          <w:szCs w:val="24"/>
          <w:highlight w:val="none"/>
          <w:lang w:eastAsia="zh-CN"/>
        </w:rPr>
        <w:t>。</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分项报价合计</w:t>
      </w:r>
      <w:r>
        <w:rPr>
          <w:rFonts w:hint="eastAsia" w:ascii="宋体" w:hAnsi="宋体" w:eastAsia="宋体" w:cs="宋体"/>
          <w:color w:val="auto"/>
          <w:sz w:val="24"/>
          <w:szCs w:val="24"/>
          <w:highlight w:val="none"/>
        </w:rPr>
        <w:t>应与开标一览表中投标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金额一致。</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pStyle w:val="2"/>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2024-2025年一次性用品采购项目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SZRFYZB202407-121</w:t>
      </w:r>
    </w:p>
    <w:tbl>
      <w:tblPr>
        <w:tblStyle w:val="20"/>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4663924"/>
      <w:bookmarkStart w:id="13" w:name="_Toc193126887"/>
      <w:bookmarkStart w:id="14" w:name="_Toc193187103"/>
      <w:bookmarkStart w:id="15" w:name="_Toc188808838"/>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7418255"/>
      <w:bookmarkStart w:id="17" w:name="_Toc188808839"/>
      <w:bookmarkStart w:id="18" w:name="_Toc47261690"/>
      <w:bookmarkStart w:id="19" w:name="_Toc47261885"/>
      <w:bookmarkStart w:id="20" w:name="_Toc48791235"/>
      <w:bookmarkStart w:id="21" w:name="_Toc47418938"/>
      <w:bookmarkStart w:id="22" w:name="_Toc47418731"/>
      <w:bookmarkStart w:id="23" w:name="_Toc49019236"/>
      <w:bookmarkStart w:id="24" w:name="_Toc193126888"/>
      <w:bookmarkStart w:id="25" w:name="_Toc49019497"/>
      <w:bookmarkStart w:id="26" w:name="_Toc193187104"/>
      <w:bookmarkStart w:id="27" w:name="_Toc47262069"/>
      <w:bookmarkStart w:id="28" w:name="_Toc48995851"/>
      <w:bookmarkStart w:id="29" w:name="_Toc194663925"/>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四</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法定代表人（单位负责人）身份证明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bookmarkStart w:id="30" w:name="_Toc27897"/>
      <w:bookmarkStart w:id="31" w:name="_Toc352691662"/>
      <w:bookmarkStart w:id="32" w:name="_Toc369531698"/>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bookmarkEnd w:id="30"/>
      <w:bookmarkEnd w:id="31"/>
      <w:bookmarkEnd w:id="32"/>
      <w:r>
        <w:rPr>
          <w:rFonts w:hint="eastAsia" w:ascii="宋体" w:hAnsi="宋体" w:eastAsia="宋体" w:cs="宋体"/>
          <w:sz w:val="24"/>
          <w:szCs w:val="24"/>
          <w:highlight w:val="none"/>
        </w:rPr>
        <w:t>龄</w:t>
      </w:r>
      <w:bookmarkStart w:id="33" w:name="_Toc247514248"/>
      <w:bookmarkStart w:id="34" w:name="_Toc144974858"/>
      <w:bookmarkStart w:id="35" w:name="_Toc152042578"/>
      <w:bookmarkStart w:id="36" w:name="_Toc300835211"/>
      <w:bookmarkStart w:id="37" w:name="_Toc152045789"/>
      <w:bookmarkStart w:id="38" w:name="_Toc384308377"/>
      <w:bookmarkStart w:id="39" w:name="_Toc352691663"/>
      <w:bookmarkStart w:id="40" w:name="_Toc361508754"/>
      <w:bookmarkStart w:id="41" w:name="_Toc15573"/>
      <w:bookmarkStart w:id="42" w:name="_Toc247527829"/>
      <w:bookmarkStart w:id="43" w:name="_Toc369531699"/>
      <w:r>
        <w:rPr>
          <w:rFonts w:hint="eastAsia" w:ascii="宋体" w:hAnsi="宋体" w:eastAsia="宋体" w:cs="宋体"/>
          <w:sz w:val="24"/>
          <w:szCs w:val="24"/>
          <w:highlight w:val="none"/>
        </w:rPr>
        <w:t>：</w:t>
      </w:r>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的法定代表人（单位负责人）。</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附：法定代表人（单位负责人）身份证复印件。</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法定代表人或授权委托人（签字或盖章）：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法定代表人授权</w:t>
      </w:r>
      <w:r>
        <w:rPr>
          <w:rStyle w:val="31"/>
          <w:rFonts w:hint="eastAsia" w:ascii="宋体" w:hAnsi="宋体" w:cs="宋体"/>
          <w:b/>
          <w:color w:val="000000"/>
          <w:kern w:val="0"/>
          <w:sz w:val="32"/>
          <w:szCs w:val="32"/>
          <w:highlight w:val="none"/>
          <w:lang w:val="en-US" w:eastAsia="zh-CN"/>
        </w:rPr>
        <w:t>委托</w:t>
      </w:r>
      <w:r>
        <w:rPr>
          <w:rStyle w:val="31"/>
          <w:rFonts w:hint="eastAsia" w:ascii="宋体" w:hAnsi="宋体" w:eastAsia="宋体" w:cs="宋体"/>
          <w:b/>
          <w:color w:val="000000"/>
          <w:kern w:val="0"/>
          <w:sz w:val="32"/>
          <w:szCs w:val="32"/>
          <w:highlight w:val="none"/>
        </w:rPr>
        <w:t>书</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bookmarkStart w:id="44" w:name="_Toc47261691"/>
      <w:bookmarkStart w:id="45" w:name="_Toc47418939"/>
      <w:bookmarkStart w:id="46" w:name="_Toc49019498"/>
      <w:bookmarkStart w:id="47" w:name="_Toc49019237"/>
      <w:bookmarkStart w:id="48" w:name="_Toc47418256"/>
      <w:bookmarkStart w:id="49" w:name="_Toc47262070"/>
      <w:bookmarkStart w:id="50" w:name="_Toc48791236"/>
      <w:bookmarkStart w:id="51" w:name="_Toc47261886"/>
      <w:bookmarkStart w:id="52" w:name="_Toc47418732"/>
      <w:bookmarkStart w:id="53" w:name="_Toc48995852"/>
      <w:r>
        <w:rPr>
          <w:rStyle w:val="31"/>
          <w:rFonts w:hint="eastAsia" w:ascii="宋体" w:hAnsi="宋体" w:eastAsia="宋体" w:cs="宋体"/>
          <w:color w:val="000000"/>
          <w:kern w:val="0"/>
          <w:sz w:val="24"/>
          <w:szCs w:val="24"/>
          <w:highlight w:val="none"/>
        </w:rPr>
        <w:t>陕西中医药大学第二附属医院：</w:t>
      </w:r>
    </w:p>
    <w:p>
      <w:pPr>
        <w:pageBreakBefore w:val="0"/>
        <w:shd w:val="clear" w:color="auto" w:fill="FFFFFF"/>
        <w:kinsoku/>
        <w:wordWrap/>
        <w:overflowPunct/>
        <w:topLinePunct w:val="0"/>
        <w:bidi w:val="0"/>
        <w:spacing w:line="360" w:lineRule="auto"/>
        <w:ind w:left="0" w:leftChars="0" w:firstLine="64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注册于</w:t>
      </w:r>
      <w:r>
        <w:rPr>
          <w:rStyle w:val="31"/>
          <w:rFonts w:hint="eastAsia" w:ascii="宋体" w:hAnsi="宋体" w:eastAsia="宋体" w:cs="宋体"/>
          <w:color w:val="000000"/>
          <w:kern w:val="0"/>
          <w:sz w:val="24"/>
          <w:szCs w:val="24"/>
          <w:highlight w:val="none"/>
          <w:u w:val="single"/>
        </w:rPr>
        <w:t>（工商行政管理局名称）</w:t>
      </w:r>
      <w:r>
        <w:rPr>
          <w:rStyle w:val="31"/>
          <w:rFonts w:hint="eastAsia" w:ascii="宋体" w:hAnsi="宋体" w:eastAsia="宋体" w:cs="宋体"/>
          <w:color w:val="000000"/>
          <w:kern w:val="0"/>
          <w:sz w:val="24"/>
          <w:szCs w:val="24"/>
          <w:highlight w:val="none"/>
        </w:rPr>
        <w:t>之</w:t>
      </w:r>
      <w:r>
        <w:rPr>
          <w:rStyle w:val="31"/>
          <w:rFonts w:hint="eastAsia" w:ascii="宋体" w:hAnsi="宋体" w:eastAsia="宋体" w:cs="宋体"/>
          <w:color w:val="000000"/>
          <w:kern w:val="0"/>
          <w:sz w:val="24"/>
          <w:szCs w:val="24"/>
          <w:highlight w:val="none"/>
          <w:u w:val="single"/>
        </w:rPr>
        <w:t>（</w:t>
      </w:r>
      <w:r>
        <w:rPr>
          <w:rStyle w:val="31"/>
          <w:rFonts w:hint="eastAsia" w:ascii="宋体" w:hAnsi="宋体" w:eastAsia="宋体" w:cs="宋体"/>
          <w:color w:val="000000"/>
          <w:kern w:val="0"/>
          <w:sz w:val="24"/>
          <w:szCs w:val="24"/>
          <w:highlight w:val="none"/>
          <w:u w:val="single"/>
          <w:lang w:eastAsia="zh-CN"/>
        </w:rPr>
        <w:t>投标投标人</w:t>
      </w:r>
      <w:r>
        <w:rPr>
          <w:rStyle w:val="31"/>
          <w:rFonts w:hint="eastAsia" w:ascii="宋体" w:hAnsi="宋体" w:eastAsia="宋体" w:cs="宋体"/>
          <w:color w:val="000000"/>
          <w:kern w:val="0"/>
          <w:sz w:val="24"/>
          <w:szCs w:val="24"/>
          <w:highlight w:val="none"/>
          <w:u w:val="single"/>
        </w:rPr>
        <w:t>全称）</w:t>
      </w:r>
      <w:r>
        <w:rPr>
          <w:rStyle w:val="31"/>
          <w:rFonts w:hint="eastAsia" w:ascii="宋体" w:hAnsi="宋体" w:eastAsia="宋体" w:cs="宋体"/>
          <w:color w:val="000000"/>
          <w:kern w:val="0"/>
          <w:sz w:val="24"/>
          <w:szCs w:val="24"/>
          <w:highlight w:val="none"/>
        </w:rPr>
        <w:t>法人代表</w:t>
      </w:r>
      <w:r>
        <w:rPr>
          <w:rStyle w:val="31"/>
          <w:rFonts w:hint="eastAsia" w:ascii="宋体" w:hAnsi="宋体" w:eastAsia="宋体" w:cs="宋体"/>
          <w:color w:val="000000"/>
          <w:kern w:val="0"/>
          <w:sz w:val="24"/>
          <w:szCs w:val="24"/>
          <w:highlight w:val="none"/>
          <w:u w:val="single"/>
        </w:rPr>
        <w:t>（姓名、职务）</w:t>
      </w:r>
      <w:r>
        <w:rPr>
          <w:rStyle w:val="31"/>
          <w:rFonts w:hint="eastAsia" w:ascii="宋体" w:hAnsi="宋体" w:eastAsia="宋体" w:cs="宋体"/>
          <w:color w:val="000000"/>
          <w:kern w:val="0"/>
          <w:sz w:val="24"/>
          <w:szCs w:val="24"/>
          <w:highlight w:val="none"/>
        </w:rPr>
        <w:t>授权</w:t>
      </w:r>
      <w:r>
        <w:rPr>
          <w:rStyle w:val="31"/>
          <w:rFonts w:hint="eastAsia" w:ascii="宋体" w:hAnsi="宋体" w:eastAsia="宋体" w:cs="宋体"/>
          <w:color w:val="000000"/>
          <w:kern w:val="0"/>
          <w:sz w:val="24"/>
          <w:szCs w:val="24"/>
          <w:highlight w:val="none"/>
          <w:u w:val="single"/>
        </w:rPr>
        <w:t>（被授权人姓名、职务）</w:t>
      </w:r>
      <w:r>
        <w:rPr>
          <w:rStyle w:val="31"/>
          <w:rFonts w:hint="eastAsia" w:ascii="宋体" w:hAnsi="宋体" w:eastAsia="宋体" w:cs="宋体"/>
          <w:color w:val="000000"/>
          <w:kern w:val="0"/>
          <w:sz w:val="24"/>
          <w:szCs w:val="24"/>
          <w:highlight w:val="none"/>
        </w:rPr>
        <w:t>为本</w:t>
      </w:r>
      <w:r>
        <w:rPr>
          <w:rStyle w:val="31"/>
          <w:rFonts w:hint="eastAsia" w:ascii="宋体" w:hAnsi="宋体" w:eastAsia="宋体" w:cs="宋体"/>
          <w:color w:val="000000"/>
          <w:kern w:val="0"/>
          <w:sz w:val="24"/>
          <w:szCs w:val="24"/>
          <w:highlight w:val="none"/>
          <w:lang w:val="en-US" w:eastAsia="zh-CN"/>
        </w:rPr>
        <w:t>单位</w:t>
      </w:r>
      <w:r>
        <w:rPr>
          <w:rStyle w:val="31"/>
          <w:rFonts w:hint="eastAsia" w:ascii="宋体" w:hAnsi="宋体" w:eastAsia="宋体" w:cs="宋体"/>
          <w:color w:val="000000"/>
          <w:kern w:val="0"/>
          <w:sz w:val="24"/>
          <w:szCs w:val="24"/>
          <w:highlight w:val="none"/>
        </w:rPr>
        <w:t>的合法代理人，就本项目的招标及合同的执行和完成，以本公司的名义处理一切与之有关的事宜。</w:t>
      </w:r>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附：</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姓名：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xml:space="preserve">职务：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通讯地址：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电  话：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法定代表人/</w:t>
      </w: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身份证复印件</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法定代表人身份证复印件（正面）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法定代表人身份证复印件（背面）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身份证复印件（背面）</w:t>
            </w:r>
          </w:p>
        </w:tc>
      </w:tr>
    </w:tbl>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单位名称（公章）：     法人代表（签字或盖章）：</w:t>
      </w:r>
    </w:p>
    <w:p>
      <w:pPr>
        <w:pageBreakBefore w:val="0"/>
        <w:shd w:val="clear" w:color="auto" w:fill="FFFFFF"/>
        <w:kinsoku/>
        <w:wordWrap/>
        <w:overflowPunct/>
        <w:topLinePunct w:val="0"/>
        <w:bidi w:val="0"/>
        <w:spacing w:line="360" w:lineRule="auto"/>
        <w:ind w:left="0" w:leftChars="0" w:firstLine="63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授权有效期为自本授权签字之日起，至开标后90日历日。</w:t>
      </w:r>
    </w:p>
    <w:p>
      <w:pPr>
        <w:pageBreakBefore w:val="0"/>
        <w:shd w:val="clear" w:color="auto" w:fill="FFFFFF"/>
        <w:kinsoku/>
        <w:wordWrap/>
        <w:overflowPunct/>
        <w:topLinePunct w:val="0"/>
        <w:bidi w:val="0"/>
        <w:spacing w:line="360" w:lineRule="auto"/>
        <w:ind w:left="0" w:leftChars="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bookmarkEnd w:id="8"/>
    <w:bookmarkEnd w:id="9"/>
    <w:bookmarkEnd w:id="10"/>
    <w:bookmarkEnd w:id="11"/>
    <w:bookmarkEnd w:id="44"/>
    <w:bookmarkEnd w:id="45"/>
    <w:bookmarkEnd w:id="46"/>
    <w:bookmarkEnd w:id="47"/>
    <w:bookmarkEnd w:id="48"/>
    <w:bookmarkEnd w:id="49"/>
    <w:bookmarkEnd w:id="50"/>
    <w:bookmarkEnd w:id="51"/>
    <w:bookmarkEnd w:id="52"/>
    <w:bookmarkEnd w:id="53"/>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资格证明文件</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1、应附与本项目公告及</w:t>
      </w:r>
      <w:r>
        <w:rPr>
          <w:rFonts w:hint="eastAsia" w:ascii="宋体" w:hAnsi="宋体" w:eastAsia="宋体" w:cs="宋体"/>
          <w:bCs/>
          <w:sz w:val="24"/>
          <w:szCs w:val="24"/>
          <w:highlight w:val="none"/>
          <w:lang w:eastAsia="zh-CN"/>
        </w:rPr>
        <w:t>招标</w:t>
      </w:r>
      <w:r>
        <w:rPr>
          <w:rFonts w:hint="eastAsia" w:ascii="宋体" w:hAnsi="宋体" w:eastAsia="宋体" w:cs="宋体"/>
          <w:bCs/>
          <w:sz w:val="24"/>
          <w:szCs w:val="24"/>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2、缴纳投标保证金的银行回单。</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bookmarkStart w:id="54" w:name="_Toc476761669"/>
      <w:bookmarkStart w:id="55" w:name="_Toc26141"/>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bookmarkEnd w:id="54"/>
    <w:bookmarkEnd w:id="55"/>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投标投标人</w:t>
      </w:r>
      <w:r>
        <w:rPr>
          <w:rFonts w:hint="eastAsia" w:ascii="宋体" w:hAnsi="宋体" w:eastAsia="宋体" w:cs="宋体"/>
          <w:bCs/>
          <w:sz w:val="24"/>
          <w:szCs w:val="24"/>
          <w:highlight w:val="none"/>
        </w:rPr>
        <w:t>应按照</w:t>
      </w:r>
      <w:r>
        <w:rPr>
          <w:rFonts w:hint="eastAsia" w:ascii="宋体" w:hAnsi="宋体" w:eastAsia="宋体" w:cs="宋体"/>
          <w:bCs/>
          <w:sz w:val="24"/>
          <w:szCs w:val="24"/>
          <w:highlight w:val="none"/>
          <w:lang w:eastAsia="zh-CN"/>
        </w:rPr>
        <w:t>招标文件</w:t>
      </w:r>
      <w:r>
        <w:rPr>
          <w:rFonts w:hint="eastAsia" w:ascii="宋体" w:hAnsi="宋体" w:eastAsia="宋体" w:cs="宋体"/>
          <w:bCs/>
          <w:sz w:val="24"/>
          <w:szCs w:val="24"/>
          <w:highlight w:val="none"/>
        </w:rPr>
        <w:t>要求，根据采购内容及技术要求内容作出全面响应。编制和提交的内容应包括但不限于以下各项。对必须满足的内容，必须完全满足。对响应有差异的，则说明差异的内容。</w:t>
      </w:r>
    </w:p>
    <w:p>
      <w:pPr>
        <w:pStyle w:val="7"/>
        <w:rPr>
          <w:rFonts w:hint="eastAsia"/>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八</w:t>
      </w:r>
      <w:r>
        <w:rPr>
          <w:rStyle w:val="31"/>
          <w:rFonts w:hint="eastAsia" w:ascii="宋体" w:hAnsi="宋体" w:eastAsia="宋体" w:cs="宋体"/>
          <w:b/>
          <w:color w:val="000000"/>
          <w:kern w:val="0"/>
          <w:sz w:val="32"/>
          <w:szCs w:val="32"/>
          <w:highlight w:val="none"/>
        </w:rPr>
        <w:t xml:space="preserve">部分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pPr>
        <w:pStyle w:val="2"/>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Fonts w:hint="eastAsia" w:ascii="宋体" w:hAnsi="宋体" w:eastAsia="宋体" w:cs="宋体"/>
          <w:b/>
          <w:sz w:val="24"/>
          <w:szCs w:val="24"/>
          <w:highlight w:val="none"/>
        </w:rPr>
      </w:pPr>
      <w:r>
        <w:rPr>
          <w:rStyle w:val="31"/>
          <w:rFonts w:hint="eastAsia" w:ascii="宋体" w:hAnsi="宋体" w:eastAsia="宋体" w:cs="宋体"/>
          <w:b/>
          <w:color w:val="000000"/>
          <w:kern w:val="0"/>
          <w:sz w:val="32"/>
          <w:szCs w:val="32"/>
          <w:highlight w:val="none"/>
          <w:lang w:val="en-US" w:eastAsia="zh-CN"/>
        </w:rPr>
        <w:t>第九部分  对招标文件及合同条款的承诺及补充意见</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rFonts w:hint="eastAsia"/>
        <w:u w:val="none"/>
        <w:lang w:val="en-US" w:eastAsia="zh-CN"/>
      </w:rPr>
      <w:t xml:space="preserve">                                                                </w: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2024-2025年一次性用品采购项目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2024-2025年一次性用品采购项目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6095269"/>
    <w:multiLevelType w:val="singleLevel"/>
    <w:tmpl w:val="86095269"/>
    <w:lvl w:ilvl="0" w:tentative="0">
      <w:start w:val="2"/>
      <w:numFmt w:val="decimal"/>
      <w:suff w:val="nothing"/>
      <w:lvlText w:val="%1、"/>
      <w:lvlJc w:val="left"/>
    </w:lvl>
  </w:abstractNum>
  <w:abstractNum w:abstractNumId="2">
    <w:nsid w:val="8D18A6ED"/>
    <w:multiLevelType w:val="singleLevel"/>
    <w:tmpl w:val="8D18A6ED"/>
    <w:lvl w:ilvl="0" w:tentative="0">
      <w:start w:val="1"/>
      <w:numFmt w:val="decimal"/>
      <w:suff w:val="nothing"/>
      <w:lvlText w:val="%1、"/>
      <w:lvlJc w:val="left"/>
    </w:lvl>
  </w:abstractNum>
  <w:abstractNum w:abstractNumId="3">
    <w:nsid w:val="3E03A91D"/>
    <w:multiLevelType w:val="singleLevel"/>
    <w:tmpl w:val="3E03A91D"/>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85F1064"/>
    <w:rsid w:val="08F8348E"/>
    <w:rsid w:val="09063C58"/>
    <w:rsid w:val="096E3BF7"/>
    <w:rsid w:val="097B4AF5"/>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15A5683"/>
    <w:rsid w:val="119A7D8C"/>
    <w:rsid w:val="12054E29"/>
    <w:rsid w:val="13180E57"/>
    <w:rsid w:val="13B54432"/>
    <w:rsid w:val="13DA38DF"/>
    <w:rsid w:val="140C3DCA"/>
    <w:rsid w:val="145E29E4"/>
    <w:rsid w:val="14C04C3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890C71"/>
    <w:rsid w:val="1CA443B4"/>
    <w:rsid w:val="1CED6FE2"/>
    <w:rsid w:val="1D50009C"/>
    <w:rsid w:val="1DEE4FB5"/>
    <w:rsid w:val="1E7164E4"/>
    <w:rsid w:val="1EA614E5"/>
    <w:rsid w:val="1F637E0E"/>
    <w:rsid w:val="1FA87BB2"/>
    <w:rsid w:val="205D1D58"/>
    <w:rsid w:val="20622E8C"/>
    <w:rsid w:val="206623B0"/>
    <w:rsid w:val="2152344A"/>
    <w:rsid w:val="2216246C"/>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C3B15FD"/>
    <w:rsid w:val="2CF55279"/>
    <w:rsid w:val="2D192D0A"/>
    <w:rsid w:val="2D5B77E5"/>
    <w:rsid w:val="2EDB11AD"/>
    <w:rsid w:val="2F137503"/>
    <w:rsid w:val="2F8855E0"/>
    <w:rsid w:val="2FBA1591"/>
    <w:rsid w:val="30327416"/>
    <w:rsid w:val="319E013D"/>
    <w:rsid w:val="31B55296"/>
    <w:rsid w:val="323D1D07"/>
    <w:rsid w:val="33786814"/>
    <w:rsid w:val="33D94129"/>
    <w:rsid w:val="35076310"/>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996FC3"/>
    <w:rsid w:val="3AB1412F"/>
    <w:rsid w:val="3AFA5ADA"/>
    <w:rsid w:val="3B042899"/>
    <w:rsid w:val="3B0836E3"/>
    <w:rsid w:val="3B475FB0"/>
    <w:rsid w:val="3B894804"/>
    <w:rsid w:val="3C6008AD"/>
    <w:rsid w:val="3CD71AFE"/>
    <w:rsid w:val="3D4717F5"/>
    <w:rsid w:val="3DE94093"/>
    <w:rsid w:val="3E0427FF"/>
    <w:rsid w:val="3E1B6A1F"/>
    <w:rsid w:val="3E2C5397"/>
    <w:rsid w:val="3FC50572"/>
    <w:rsid w:val="3FF73C5F"/>
    <w:rsid w:val="403B6EE2"/>
    <w:rsid w:val="40663513"/>
    <w:rsid w:val="40E92655"/>
    <w:rsid w:val="41FD6188"/>
    <w:rsid w:val="42C43BC6"/>
    <w:rsid w:val="42CB7C52"/>
    <w:rsid w:val="42DB25F4"/>
    <w:rsid w:val="42E54E6B"/>
    <w:rsid w:val="42EE156B"/>
    <w:rsid w:val="432A22FC"/>
    <w:rsid w:val="437215DF"/>
    <w:rsid w:val="4385131F"/>
    <w:rsid w:val="446B2CF5"/>
    <w:rsid w:val="44F50DE2"/>
    <w:rsid w:val="45016DC9"/>
    <w:rsid w:val="459C4CE0"/>
    <w:rsid w:val="45B87CDC"/>
    <w:rsid w:val="45C945EF"/>
    <w:rsid w:val="45C9667C"/>
    <w:rsid w:val="4661488C"/>
    <w:rsid w:val="46840079"/>
    <w:rsid w:val="46B21187"/>
    <w:rsid w:val="46D54EE3"/>
    <w:rsid w:val="4727792E"/>
    <w:rsid w:val="476924A8"/>
    <w:rsid w:val="47AD00CB"/>
    <w:rsid w:val="48245C60"/>
    <w:rsid w:val="48E92BDF"/>
    <w:rsid w:val="496D062C"/>
    <w:rsid w:val="4AC5484B"/>
    <w:rsid w:val="4B390CB0"/>
    <w:rsid w:val="4BC96FC4"/>
    <w:rsid w:val="4C786227"/>
    <w:rsid w:val="4C9C314F"/>
    <w:rsid w:val="4D16338C"/>
    <w:rsid w:val="4D477007"/>
    <w:rsid w:val="4D945FDB"/>
    <w:rsid w:val="4E266FEC"/>
    <w:rsid w:val="4E4313A3"/>
    <w:rsid w:val="4E567461"/>
    <w:rsid w:val="4E7F2A48"/>
    <w:rsid w:val="4EF43184"/>
    <w:rsid w:val="4F35448B"/>
    <w:rsid w:val="4F785E92"/>
    <w:rsid w:val="4FE96673"/>
    <w:rsid w:val="50633F09"/>
    <w:rsid w:val="51071B04"/>
    <w:rsid w:val="5114481D"/>
    <w:rsid w:val="512E7E73"/>
    <w:rsid w:val="517322DB"/>
    <w:rsid w:val="521D7D61"/>
    <w:rsid w:val="52AE140E"/>
    <w:rsid w:val="532145A6"/>
    <w:rsid w:val="548B33B8"/>
    <w:rsid w:val="54D9246E"/>
    <w:rsid w:val="55697F23"/>
    <w:rsid w:val="55D50D83"/>
    <w:rsid w:val="562542A9"/>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2A1297"/>
    <w:rsid w:val="63C41A1E"/>
    <w:rsid w:val="63D934C8"/>
    <w:rsid w:val="641C6318"/>
    <w:rsid w:val="6492769B"/>
    <w:rsid w:val="64C6694E"/>
    <w:rsid w:val="65BC657A"/>
    <w:rsid w:val="65BF5A4E"/>
    <w:rsid w:val="671B5071"/>
    <w:rsid w:val="67A2643E"/>
    <w:rsid w:val="67C85D1E"/>
    <w:rsid w:val="682B6C96"/>
    <w:rsid w:val="690D2E04"/>
    <w:rsid w:val="6A053FC1"/>
    <w:rsid w:val="6A68276C"/>
    <w:rsid w:val="6A8E3EF3"/>
    <w:rsid w:val="6BBD0C12"/>
    <w:rsid w:val="6BC81C42"/>
    <w:rsid w:val="6C834610"/>
    <w:rsid w:val="6CA1071F"/>
    <w:rsid w:val="6CAC513A"/>
    <w:rsid w:val="6CF76CB6"/>
    <w:rsid w:val="6DF92E91"/>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65F516C"/>
    <w:rsid w:val="76A61B17"/>
    <w:rsid w:val="771E1B9C"/>
    <w:rsid w:val="772C7E4F"/>
    <w:rsid w:val="774429A8"/>
    <w:rsid w:val="784C7B05"/>
    <w:rsid w:val="7879089F"/>
    <w:rsid w:val="79A25289"/>
    <w:rsid w:val="7ADF1AE9"/>
    <w:rsid w:val="7B9A7898"/>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6"/>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8">
    <w:name w:val="heading 3"/>
    <w:basedOn w:val="1"/>
    <w:next w:val="1"/>
    <w:qFormat/>
    <w:uiPriority w:val="99"/>
    <w:pPr>
      <w:tabs>
        <w:tab w:val="left" w:pos="588"/>
      </w:tabs>
      <w:spacing w:line="360" w:lineRule="auto"/>
      <w:outlineLvl w:val="2"/>
    </w:pPr>
    <w:rPr>
      <w:rFonts w:ascii="Tahoma" w:hAnsi="Tahoma"/>
    </w:rPr>
  </w:style>
  <w:style w:type="paragraph" w:styleId="9">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39"/>
    <w:pPr>
      <w:spacing w:line="440" w:lineRule="exact"/>
      <w:ind w:left="840"/>
      <w:jc w:val="left"/>
    </w:pPr>
    <w:rPr>
      <w:rFonts w:ascii="Calibri" w:hAnsi="Calibri"/>
      <w:sz w:val="18"/>
      <w:szCs w:val="18"/>
    </w:rPr>
  </w:style>
  <w:style w:type="paragraph" w:styleId="10">
    <w:name w:val="annotation text"/>
    <w:basedOn w:val="1"/>
    <w:link w:val="29"/>
    <w:qFormat/>
    <w:uiPriority w:val="0"/>
    <w:pPr>
      <w:jc w:val="left"/>
    </w:pPr>
  </w:style>
  <w:style w:type="paragraph" w:styleId="11">
    <w:name w:val="Body Text"/>
    <w:basedOn w:val="1"/>
    <w:next w:val="1"/>
    <w:qFormat/>
    <w:uiPriority w:val="99"/>
    <w:pPr>
      <w:tabs>
        <w:tab w:val="left" w:pos="7290"/>
      </w:tabs>
    </w:pPr>
    <w:rPr>
      <w:b/>
      <w:u w:val="single"/>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10"/>
    <w:next w:val="10"/>
    <w:link w:val="30"/>
    <w:qFormat/>
    <w:uiPriority w:val="0"/>
    <w:rPr>
      <w:b/>
      <w:bCs/>
    </w:rPr>
  </w:style>
  <w:style w:type="paragraph" w:styleId="19">
    <w:name w:val="Body Text First Indent"/>
    <w:basedOn w:val="11"/>
    <w:next w:val="2"/>
    <w:qFormat/>
    <w:uiPriority w:val="99"/>
    <w:pPr>
      <w:spacing w:line="240" w:lineRule="auto"/>
      <w:ind w:firstLine="420" w:firstLineChars="100"/>
    </w:pPr>
    <w:rPr>
      <w:rFonts w:ascii="Times New Roman" w:hAnsi="Times New Roman" w:cs="Times New Roman"/>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5"/>
    <w:qFormat/>
    <w:uiPriority w:val="0"/>
    <w:rPr>
      <w:kern w:val="2"/>
      <w:sz w:val="18"/>
      <w:szCs w:val="18"/>
    </w:rPr>
  </w:style>
  <w:style w:type="character" w:customStyle="1" w:styleId="27">
    <w:name w:val="页脚 Char"/>
    <w:link w:val="14"/>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10"/>
    <w:qFormat/>
    <w:uiPriority w:val="0"/>
    <w:rPr>
      <w:kern w:val="2"/>
      <w:sz w:val="21"/>
      <w:szCs w:val="24"/>
    </w:rPr>
  </w:style>
  <w:style w:type="character" w:customStyle="1" w:styleId="30">
    <w:name w:val="批注主题 Char"/>
    <w:link w:val="18"/>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4"/>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9272</Words>
  <Characters>9652</Characters>
  <Paragraphs>503</Paragraphs>
  <TotalTime>0</TotalTime>
  <ScaleCrop>false</ScaleCrop>
  <LinksUpToDate>false</LinksUpToDate>
  <CharactersWithSpaces>10396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2024-07-11T07:51:27Z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C73A943DF3F047099DD3535520F766D1_13</vt:lpwstr>
  </property>
</Properties>
</file>