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D810D">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14:paraId="33D2EEFD">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color w:val="FFFF00"/>
          <w:kern w:val="0"/>
          <w:sz w:val="28"/>
          <w:szCs w:val="28"/>
          <w:highlight w:val="none"/>
          <w:lang w:val="en-US" w:eastAsia="zh-CN"/>
        </w:rPr>
      </w:pPr>
      <w:r>
        <w:rPr>
          <w:rStyle w:val="31"/>
          <w:rFonts w:hint="eastAsia" w:ascii="宋体" w:hAnsi="宋体" w:eastAsia="宋体" w:cs="宋体"/>
          <w:b/>
          <w:sz w:val="28"/>
          <w:szCs w:val="28"/>
          <w:highlight w:val="none"/>
        </w:rPr>
        <w:t>项目编号：SZRFYZB202409-169</w:t>
      </w:r>
    </w:p>
    <w:p w14:paraId="7068DC24">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0F09DB2F">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032489C1">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76A55AA0">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6AD262F7">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4C576C1F">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1BDA20CA">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b/>
          <w:sz w:val="52"/>
          <w:szCs w:val="52"/>
          <w:highlight w:val="none"/>
        </w:rPr>
        <w:t>陕西中医药大学第二附属医院</w:t>
      </w:r>
      <w:r>
        <w:rPr>
          <w:rStyle w:val="31"/>
          <w:rFonts w:hint="eastAsia" w:ascii="宋体" w:hAnsi="宋体" w:cs="宋体"/>
          <w:b/>
          <w:sz w:val="52"/>
          <w:szCs w:val="52"/>
          <w:highlight w:val="none"/>
          <w:lang w:eastAsia="zh-CN"/>
        </w:rPr>
        <w:t>2024-2025年度零星家具供货商遴选项目</w:t>
      </w:r>
    </w:p>
    <w:p w14:paraId="09DE3B25">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3C1E879F">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color w:val="000000"/>
          <w:kern w:val="0"/>
          <w:sz w:val="24"/>
          <w:szCs w:val="24"/>
          <w:highlight w:val="none"/>
        </w:rPr>
      </w:pPr>
    </w:p>
    <w:p w14:paraId="20A6159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792D40A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52"/>
          <w:szCs w:val="52"/>
          <w:highlight w:val="none"/>
        </w:rPr>
      </w:pPr>
      <w:r>
        <w:rPr>
          <w:rStyle w:val="31"/>
          <w:rFonts w:hint="eastAsia" w:ascii="宋体" w:hAnsi="宋体" w:eastAsia="宋体" w:cs="宋体"/>
          <w:b/>
          <w:color w:val="000000"/>
          <w:kern w:val="0"/>
          <w:sz w:val="52"/>
          <w:szCs w:val="52"/>
          <w:highlight w:val="none"/>
          <w:lang w:val="en-US" w:eastAsia="zh-CN"/>
        </w:rPr>
        <w:t>公开招标</w:t>
      </w:r>
      <w:r>
        <w:rPr>
          <w:rStyle w:val="31"/>
          <w:rFonts w:hint="eastAsia" w:ascii="宋体" w:hAnsi="宋体" w:eastAsia="宋体" w:cs="宋体"/>
          <w:b/>
          <w:color w:val="000000"/>
          <w:kern w:val="0"/>
          <w:sz w:val="52"/>
          <w:szCs w:val="52"/>
          <w:highlight w:val="none"/>
        </w:rPr>
        <w:t>文件</w:t>
      </w:r>
    </w:p>
    <w:p w14:paraId="0C9305D6">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3CED526F">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4FEF9B34">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6412E657">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F35D8FF">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645F037E">
      <w:pPr>
        <w:keepNext w:val="0"/>
        <w:keepLines w:val="0"/>
        <w:pageBreakBefore w:val="0"/>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14:paraId="1660280A">
      <w:pPr>
        <w:pStyle w:val="2"/>
        <w:rPr>
          <w:rFonts w:hint="eastAsia"/>
          <w:highlight w:val="none"/>
        </w:rPr>
      </w:pPr>
    </w:p>
    <w:p w14:paraId="4B6D8B19">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陕西中医药大学第二附属医院</w:t>
      </w:r>
    </w:p>
    <w:p w14:paraId="3875C270">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auto"/>
          <w:sz w:val="28"/>
          <w:szCs w:val="28"/>
          <w:highlight w:val="none"/>
        </w:rPr>
        <w:t>二〇二</w:t>
      </w:r>
      <w:r>
        <w:rPr>
          <w:rStyle w:val="31"/>
          <w:rFonts w:hint="eastAsia" w:ascii="宋体" w:hAnsi="宋体" w:eastAsia="宋体" w:cs="宋体"/>
          <w:b/>
          <w:color w:val="auto"/>
          <w:sz w:val="28"/>
          <w:szCs w:val="28"/>
          <w:highlight w:val="none"/>
          <w:lang w:val="en-US" w:eastAsia="zh-CN"/>
        </w:rPr>
        <w:t>四年</w:t>
      </w:r>
      <w:r>
        <w:rPr>
          <w:rStyle w:val="31"/>
          <w:rFonts w:hint="eastAsia" w:ascii="宋体" w:hAnsi="宋体" w:cs="宋体"/>
          <w:b/>
          <w:sz w:val="28"/>
          <w:szCs w:val="28"/>
          <w:highlight w:val="none"/>
          <w:lang w:val="en-US" w:eastAsia="zh-CN"/>
        </w:rPr>
        <w:t>十</w:t>
      </w:r>
      <w:r>
        <w:rPr>
          <w:rStyle w:val="31"/>
          <w:rFonts w:hint="eastAsia" w:ascii="宋体" w:hAnsi="宋体" w:eastAsia="宋体" w:cs="宋体"/>
          <w:b/>
          <w:sz w:val="28"/>
          <w:szCs w:val="28"/>
          <w:highlight w:val="none"/>
        </w:rPr>
        <w:t>月</w:t>
      </w:r>
    </w:p>
    <w:p w14:paraId="700F24C4">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p>
    <w:p w14:paraId="73DCBFEF">
      <w:pPr>
        <w:rPr>
          <w:rStyle w:val="31"/>
          <w:rFonts w:hint="eastAsia" w:ascii="宋体" w:hAnsi="宋体" w:eastAsia="宋体" w:cs="宋体"/>
          <w:b/>
          <w:color w:val="000000"/>
          <w:kern w:val="0"/>
          <w:sz w:val="24"/>
          <w:szCs w:val="24"/>
          <w:highlight w:val="none"/>
        </w:rPr>
        <w:sectPr>
          <w:footerReference r:id="rId5" w:type="first"/>
          <w:headerReference r:id="rId3" w:type="default"/>
          <w:footerReference r:id="rId4" w:type="default"/>
          <w:pgSz w:w="11907" w:h="16840"/>
          <w:pgMar w:top="1440" w:right="1588" w:bottom="1440" w:left="1803" w:header="851" w:footer="992" w:gutter="0"/>
          <w:pgNumType w:fmt="decimal" w:start="1"/>
          <w:cols w:space="720" w:num="1"/>
          <w:docGrid w:type="linesAndChars" w:linePitch="312" w:charSpace="0"/>
        </w:sectPr>
      </w:pPr>
      <w:r>
        <w:rPr>
          <w:rStyle w:val="31"/>
          <w:rFonts w:hint="eastAsia" w:ascii="宋体" w:hAnsi="宋体" w:eastAsia="宋体" w:cs="宋体"/>
          <w:b/>
          <w:color w:val="000000"/>
          <w:kern w:val="0"/>
          <w:sz w:val="24"/>
          <w:szCs w:val="24"/>
          <w:highlight w:val="none"/>
        </w:rPr>
        <w:br w:type="page"/>
      </w:r>
    </w:p>
    <w:p w14:paraId="09996AD6">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24"/>
          <w:szCs w:val="24"/>
          <w:highlight w:val="none"/>
        </w:rPr>
      </w:pPr>
    </w:p>
    <w:p w14:paraId="546955B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6"/>
          <w:szCs w:val="36"/>
          <w:highlight w:val="none"/>
        </w:rPr>
      </w:pPr>
      <w:r>
        <w:rPr>
          <w:rStyle w:val="31"/>
          <w:rFonts w:hint="eastAsia" w:ascii="宋体" w:hAnsi="宋体" w:eastAsia="宋体" w:cs="宋体"/>
          <w:b/>
          <w:color w:val="000000"/>
          <w:kern w:val="0"/>
          <w:sz w:val="36"/>
          <w:szCs w:val="36"/>
          <w:highlight w:val="none"/>
        </w:rPr>
        <w:t>目  录</w:t>
      </w:r>
    </w:p>
    <w:p w14:paraId="53AC2F7B">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b/>
          <w:color w:val="000000"/>
          <w:kern w:val="0"/>
          <w:sz w:val="36"/>
          <w:szCs w:val="36"/>
          <w:highlight w:val="none"/>
        </w:rPr>
      </w:pPr>
    </w:p>
    <w:p w14:paraId="7D9F2D1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第一</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招标</w:t>
      </w:r>
      <w:r>
        <w:rPr>
          <w:rStyle w:val="31"/>
          <w:rFonts w:hint="eastAsia" w:ascii="宋体" w:hAnsi="宋体" w:eastAsia="宋体" w:cs="宋体"/>
          <w:b/>
          <w:color w:val="000000"/>
          <w:kern w:val="0"/>
          <w:sz w:val="28"/>
          <w:szCs w:val="28"/>
          <w:highlight w:val="none"/>
        </w:rPr>
        <w:t>公告</w:t>
      </w:r>
    </w:p>
    <w:p w14:paraId="4270DAB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第二</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投标人</w:t>
      </w:r>
      <w:r>
        <w:rPr>
          <w:rStyle w:val="31"/>
          <w:rFonts w:hint="eastAsia" w:ascii="宋体" w:hAnsi="宋体" w:eastAsia="宋体" w:cs="宋体"/>
          <w:b/>
          <w:color w:val="000000"/>
          <w:kern w:val="0"/>
          <w:sz w:val="28"/>
          <w:szCs w:val="28"/>
          <w:highlight w:val="none"/>
        </w:rPr>
        <w:t>须知</w:t>
      </w:r>
    </w:p>
    <w:p w14:paraId="34BD446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 xml:space="preserve">第三章    </w:t>
      </w:r>
      <w:r>
        <w:rPr>
          <w:rStyle w:val="31"/>
          <w:rFonts w:hint="eastAsia" w:ascii="宋体" w:hAnsi="宋体" w:eastAsia="宋体" w:cs="宋体"/>
          <w:b/>
          <w:color w:val="000000"/>
          <w:kern w:val="0"/>
          <w:sz w:val="28"/>
          <w:szCs w:val="28"/>
          <w:highlight w:val="none"/>
          <w:lang w:val="en-US" w:eastAsia="zh-CN"/>
        </w:rPr>
        <w:t>采购</w:t>
      </w:r>
      <w:r>
        <w:rPr>
          <w:rStyle w:val="31"/>
          <w:rFonts w:hint="eastAsia" w:ascii="宋体" w:hAnsi="宋体" w:eastAsia="宋体" w:cs="宋体"/>
          <w:b/>
          <w:color w:val="000000"/>
          <w:kern w:val="0"/>
          <w:sz w:val="28"/>
          <w:szCs w:val="28"/>
          <w:highlight w:val="none"/>
        </w:rPr>
        <w:t>内容及要求</w:t>
      </w:r>
    </w:p>
    <w:p w14:paraId="6FAB857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第四章    评标标准和方法</w:t>
      </w:r>
    </w:p>
    <w:p w14:paraId="2FBF3A8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val="en-US" w:eastAsia="zh-CN"/>
        </w:rPr>
      </w:pPr>
      <w:r>
        <w:rPr>
          <w:rStyle w:val="31"/>
          <w:rFonts w:hint="eastAsia" w:ascii="宋体" w:hAnsi="宋体" w:eastAsia="宋体" w:cs="宋体"/>
          <w:b/>
          <w:color w:val="000000"/>
          <w:kern w:val="0"/>
          <w:sz w:val="28"/>
          <w:szCs w:val="28"/>
          <w:highlight w:val="none"/>
        </w:rPr>
        <w:t xml:space="preserve">第五章    </w:t>
      </w:r>
      <w:r>
        <w:rPr>
          <w:rStyle w:val="31"/>
          <w:rFonts w:hint="eastAsia" w:ascii="宋体" w:hAnsi="宋体" w:eastAsia="宋体" w:cs="宋体"/>
          <w:b/>
          <w:color w:val="000000"/>
          <w:kern w:val="0"/>
          <w:sz w:val="28"/>
          <w:szCs w:val="28"/>
          <w:highlight w:val="none"/>
          <w:lang w:eastAsia="zh-CN"/>
        </w:rPr>
        <w:t>合同</w:t>
      </w:r>
      <w:r>
        <w:rPr>
          <w:rStyle w:val="31"/>
          <w:rFonts w:hint="eastAsia" w:ascii="宋体" w:hAnsi="宋体" w:eastAsia="宋体" w:cs="宋体"/>
          <w:b/>
          <w:color w:val="000000"/>
          <w:kern w:val="0"/>
          <w:sz w:val="28"/>
          <w:szCs w:val="28"/>
          <w:highlight w:val="none"/>
          <w:lang w:val="en-US" w:eastAsia="zh-CN"/>
        </w:rPr>
        <w:t>基本条款</w:t>
      </w:r>
    </w:p>
    <w:p w14:paraId="5DCD735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eastAsia="zh-CN"/>
        </w:rPr>
      </w:pPr>
      <w:r>
        <w:rPr>
          <w:rStyle w:val="31"/>
          <w:rFonts w:hint="eastAsia" w:ascii="宋体" w:hAnsi="宋体" w:eastAsia="宋体" w:cs="宋体"/>
          <w:b/>
          <w:color w:val="000000"/>
          <w:kern w:val="0"/>
          <w:sz w:val="28"/>
          <w:szCs w:val="28"/>
          <w:highlight w:val="none"/>
        </w:rPr>
        <w:t>第</w:t>
      </w:r>
      <w:r>
        <w:rPr>
          <w:rStyle w:val="31"/>
          <w:rFonts w:hint="eastAsia" w:ascii="宋体" w:hAnsi="宋体" w:eastAsia="宋体" w:cs="宋体"/>
          <w:b/>
          <w:color w:val="000000"/>
          <w:kern w:val="0"/>
          <w:sz w:val="28"/>
          <w:szCs w:val="28"/>
          <w:highlight w:val="none"/>
          <w:lang w:eastAsia="zh-CN"/>
        </w:rPr>
        <w:t>六</w:t>
      </w:r>
      <w:r>
        <w:rPr>
          <w:rStyle w:val="31"/>
          <w:rFonts w:hint="eastAsia" w:ascii="宋体" w:hAnsi="宋体" w:eastAsia="宋体" w:cs="宋体"/>
          <w:b/>
          <w:color w:val="000000"/>
          <w:kern w:val="0"/>
          <w:sz w:val="28"/>
          <w:szCs w:val="28"/>
          <w:highlight w:val="none"/>
        </w:rPr>
        <w:t xml:space="preserve">章    </w:t>
      </w:r>
      <w:r>
        <w:rPr>
          <w:rStyle w:val="31"/>
          <w:rFonts w:hint="eastAsia" w:ascii="宋体" w:hAnsi="宋体" w:eastAsia="宋体" w:cs="宋体"/>
          <w:b/>
          <w:color w:val="000000"/>
          <w:kern w:val="0"/>
          <w:sz w:val="28"/>
          <w:szCs w:val="28"/>
          <w:highlight w:val="none"/>
          <w:lang w:eastAsia="zh-CN"/>
        </w:rPr>
        <w:t>其他说明</w:t>
      </w:r>
    </w:p>
    <w:p w14:paraId="501BA3E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1"/>
          <w:rFonts w:hint="eastAsia" w:ascii="宋体" w:hAnsi="宋体" w:eastAsia="宋体" w:cs="宋体"/>
          <w:b/>
          <w:color w:val="000000"/>
          <w:kern w:val="0"/>
          <w:sz w:val="28"/>
          <w:szCs w:val="28"/>
          <w:highlight w:val="none"/>
          <w:lang w:eastAsia="zh-CN"/>
        </w:rPr>
        <w:t>第七章</w:t>
      </w:r>
      <w:r>
        <w:rPr>
          <w:rStyle w:val="31"/>
          <w:rFonts w:hint="eastAsia" w:ascii="宋体" w:hAnsi="宋体" w:eastAsia="宋体" w:cs="宋体"/>
          <w:b/>
          <w:color w:val="000000"/>
          <w:kern w:val="0"/>
          <w:sz w:val="28"/>
          <w:szCs w:val="28"/>
          <w:highlight w:val="none"/>
          <w:lang w:val="en-US" w:eastAsia="zh-CN"/>
        </w:rPr>
        <w:t xml:space="preserve">    投标</w:t>
      </w:r>
      <w:r>
        <w:rPr>
          <w:rStyle w:val="31"/>
          <w:rFonts w:hint="eastAsia" w:ascii="宋体" w:hAnsi="宋体" w:eastAsia="宋体" w:cs="宋体"/>
          <w:b/>
          <w:color w:val="000000"/>
          <w:kern w:val="0"/>
          <w:sz w:val="28"/>
          <w:szCs w:val="28"/>
          <w:highlight w:val="none"/>
          <w:lang w:eastAsia="zh-CN"/>
        </w:rPr>
        <w:t>文件</w:t>
      </w:r>
      <w:r>
        <w:rPr>
          <w:rStyle w:val="31"/>
          <w:rFonts w:hint="eastAsia" w:ascii="宋体" w:hAnsi="宋体" w:eastAsia="宋体" w:cs="宋体"/>
          <w:b/>
          <w:color w:val="000000"/>
          <w:kern w:val="0"/>
          <w:sz w:val="28"/>
          <w:szCs w:val="28"/>
          <w:highlight w:val="none"/>
        </w:rPr>
        <w:t>格式</w:t>
      </w:r>
    </w:p>
    <w:p w14:paraId="62C5E764">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62AE623E">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072B8E77">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166822CC">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4DCA60A8">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4869E228">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7ACC1700">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161BE5C4">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2093B538">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04177C26">
      <w:pPr>
        <w:pStyle w:val="2"/>
        <w:rPr>
          <w:rFonts w:hint="eastAsia" w:ascii="宋体" w:hAnsi="宋体" w:eastAsia="宋体" w:cs="宋体"/>
          <w:b/>
          <w:color w:val="333333"/>
          <w:kern w:val="0"/>
          <w:sz w:val="24"/>
          <w:szCs w:val="24"/>
          <w:highlight w:val="none"/>
        </w:rPr>
      </w:pPr>
    </w:p>
    <w:p w14:paraId="2AD7908A">
      <w:pPr>
        <w:pStyle w:val="2"/>
        <w:rPr>
          <w:rFonts w:hint="eastAsia" w:ascii="宋体" w:hAnsi="宋体" w:eastAsia="宋体" w:cs="宋体"/>
          <w:b/>
          <w:color w:val="333333"/>
          <w:kern w:val="0"/>
          <w:sz w:val="24"/>
          <w:szCs w:val="24"/>
          <w:highlight w:val="none"/>
        </w:rPr>
      </w:pPr>
    </w:p>
    <w:p w14:paraId="69824D2F">
      <w:pPr>
        <w:pStyle w:val="2"/>
        <w:rPr>
          <w:rFonts w:hint="eastAsia" w:ascii="宋体" w:hAnsi="宋体" w:eastAsia="宋体" w:cs="宋体"/>
          <w:b/>
          <w:color w:val="333333"/>
          <w:kern w:val="0"/>
          <w:sz w:val="24"/>
          <w:szCs w:val="24"/>
          <w:highlight w:val="none"/>
        </w:rPr>
      </w:pPr>
    </w:p>
    <w:p w14:paraId="2BEF8BB2">
      <w:pPr>
        <w:pStyle w:val="2"/>
        <w:rPr>
          <w:rFonts w:hint="eastAsia" w:ascii="宋体" w:hAnsi="宋体" w:eastAsia="宋体" w:cs="宋体"/>
          <w:b/>
          <w:color w:val="333333"/>
          <w:kern w:val="0"/>
          <w:sz w:val="24"/>
          <w:szCs w:val="24"/>
          <w:highlight w:val="none"/>
        </w:rPr>
      </w:pPr>
    </w:p>
    <w:p w14:paraId="714D0EF8">
      <w:pPr>
        <w:pStyle w:val="2"/>
        <w:rPr>
          <w:rFonts w:hint="eastAsia" w:ascii="宋体" w:hAnsi="宋体" w:eastAsia="宋体" w:cs="宋体"/>
          <w:b/>
          <w:color w:val="333333"/>
          <w:kern w:val="0"/>
          <w:sz w:val="24"/>
          <w:szCs w:val="24"/>
          <w:highlight w:val="none"/>
        </w:rPr>
      </w:pPr>
    </w:p>
    <w:p w14:paraId="5D094E5A">
      <w:pPr>
        <w:pStyle w:val="2"/>
        <w:rPr>
          <w:rFonts w:hint="eastAsia" w:ascii="宋体" w:hAnsi="宋体" w:eastAsia="宋体" w:cs="宋体"/>
          <w:b/>
          <w:color w:val="333333"/>
          <w:kern w:val="0"/>
          <w:sz w:val="24"/>
          <w:szCs w:val="24"/>
          <w:highlight w:val="none"/>
        </w:rPr>
      </w:pPr>
    </w:p>
    <w:p w14:paraId="6CCF95F8">
      <w:pPr>
        <w:pStyle w:val="2"/>
        <w:rPr>
          <w:rFonts w:hint="eastAsia" w:ascii="宋体" w:hAnsi="宋体" w:eastAsia="宋体" w:cs="宋体"/>
          <w:b/>
          <w:color w:val="333333"/>
          <w:kern w:val="0"/>
          <w:sz w:val="24"/>
          <w:szCs w:val="24"/>
          <w:highlight w:val="none"/>
        </w:rPr>
      </w:pPr>
    </w:p>
    <w:p w14:paraId="449FEF46">
      <w:pPr>
        <w:pStyle w:val="2"/>
        <w:rPr>
          <w:rFonts w:hint="eastAsia" w:ascii="宋体" w:hAnsi="宋体" w:eastAsia="宋体" w:cs="宋体"/>
          <w:b/>
          <w:color w:val="333333"/>
          <w:kern w:val="0"/>
          <w:sz w:val="24"/>
          <w:szCs w:val="24"/>
          <w:highlight w:val="none"/>
        </w:rPr>
      </w:pPr>
    </w:p>
    <w:p w14:paraId="039F0D12">
      <w:pPr>
        <w:pStyle w:val="2"/>
        <w:rPr>
          <w:rFonts w:hint="eastAsia" w:ascii="宋体" w:hAnsi="宋体" w:eastAsia="宋体" w:cs="宋体"/>
          <w:b/>
          <w:color w:val="333333"/>
          <w:kern w:val="0"/>
          <w:sz w:val="24"/>
          <w:szCs w:val="24"/>
          <w:highlight w:val="none"/>
        </w:rPr>
      </w:pPr>
    </w:p>
    <w:p w14:paraId="31394933">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8" w:type="first"/>
          <w:headerReference r:id="rId6" w:type="default"/>
          <w:footerReference r:id="rId7" w:type="default"/>
          <w:pgSz w:w="11905" w:h="16838"/>
          <w:pgMar w:top="1440" w:right="1587" w:bottom="1440" w:left="1803" w:header="851" w:footer="992" w:gutter="0"/>
          <w:pgNumType w:fmt="decimal"/>
          <w:cols w:space="0" w:num="1"/>
          <w:titlePg/>
          <w:rtlGutter w:val="0"/>
          <w:docGrid w:type="lines" w:linePitch="312" w:charSpace="0"/>
        </w:sectPr>
      </w:pPr>
    </w:p>
    <w:p w14:paraId="45509A03">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1"/>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1"/>
          <w:rFonts w:hint="eastAsia" w:ascii="宋体" w:hAnsi="宋体" w:eastAsia="宋体" w:cs="宋体"/>
          <w:b/>
          <w:sz w:val="32"/>
          <w:szCs w:val="32"/>
          <w:highlight w:val="none"/>
          <w:lang w:val="en-US" w:eastAsia="zh-CN"/>
        </w:rPr>
        <w:t xml:space="preserve">  招标</w:t>
      </w:r>
      <w:r>
        <w:rPr>
          <w:rStyle w:val="31"/>
          <w:rFonts w:hint="eastAsia" w:ascii="宋体" w:hAnsi="宋体" w:eastAsia="宋体" w:cs="宋体"/>
          <w:b/>
          <w:sz w:val="32"/>
          <w:szCs w:val="32"/>
          <w:highlight w:val="none"/>
        </w:rPr>
        <w:t>公告</w:t>
      </w:r>
    </w:p>
    <w:p w14:paraId="08F6DBE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eastAsia="宋体" w:cs="宋体"/>
          <w:sz w:val="24"/>
          <w:szCs w:val="24"/>
          <w:highlight w:val="none"/>
          <w:lang w:val="en-US" w:eastAsia="zh-CN"/>
        </w:rPr>
        <w:t>2024-2025年度零星家具供货商遴选项目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7820F488">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48F1DA48">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w:t>
      </w:r>
      <w:r>
        <w:rPr>
          <w:rStyle w:val="31"/>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eastAsia="宋体" w:cs="宋体"/>
          <w:sz w:val="24"/>
          <w:szCs w:val="24"/>
          <w:highlight w:val="none"/>
          <w:lang w:val="en-US" w:eastAsia="zh-CN"/>
        </w:rPr>
        <w:t>2024-2025年度零星家具供货商遴选项目</w:t>
      </w:r>
    </w:p>
    <w:p w14:paraId="5E4EBEAD">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2、招标内容：详见</w:t>
      </w:r>
      <w:r>
        <w:rPr>
          <w:rStyle w:val="31"/>
          <w:rFonts w:hint="eastAsia" w:ascii="宋体" w:hAnsi="宋体" w:eastAsia="宋体" w:cs="宋体"/>
          <w:sz w:val="24"/>
          <w:szCs w:val="24"/>
          <w:highlight w:val="none"/>
          <w:lang w:val="en-US" w:eastAsia="zh-CN"/>
        </w:rPr>
        <w:t>招标</w:t>
      </w:r>
      <w:r>
        <w:rPr>
          <w:rStyle w:val="31"/>
          <w:rFonts w:hint="eastAsia" w:ascii="宋体" w:hAnsi="宋体" w:eastAsia="宋体" w:cs="宋体"/>
          <w:sz w:val="24"/>
          <w:szCs w:val="24"/>
          <w:highlight w:val="none"/>
          <w:lang w:eastAsia="zh-CN"/>
        </w:rPr>
        <w:t>文件第三章</w:t>
      </w:r>
    </w:p>
    <w:p w14:paraId="5DF037E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lang w:val="en-US" w:eastAsia="zh-CN"/>
        </w:rPr>
        <w:t>3</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成交供应商</w:t>
      </w:r>
      <w:r>
        <w:rPr>
          <w:rStyle w:val="31"/>
          <w:rFonts w:hint="eastAsia" w:ascii="宋体" w:hAnsi="宋体" w:eastAsia="宋体" w:cs="宋体"/>
          <w:sz w:val="24"/>
          <w:szCs w:val="24"/>
          <w:highlight w:val="none"/>
        </w:rPr>
        <w:t>数量：</w:t>
      </w:r>
      <w:r>
        <w:rPr>
          <w:rStyle w:val="31"/>
          <w:rFonts w:hint="eastAsia" w:ascii="宋体" w:hAnsi="宋体" w:eastAsia="宋体" w:cs="宋体"/>
          <w:sz w:val="24"/>
          <w:szCs w:val="24"/>
          <w:highlight w:val="none"/>
          <w:lang w:val="en-US" w:eastAsia="zh-CN"/>
        </w:rPr>
        <w:t>1个</w:t>
      </w:r>
    </w:p>
    <w:p w14:paraId="6992E1E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sz w:val="24"/>
          <w:szCs w:val="24"/>
          <w:highlight w:val="none"/>
          <w:lang w:val="en-US" w:eastAsia="zh-CN"/>
        </w:rPr>
      </w:pPr>
      <w:r>
        <w:rPr>
          <w:rStyle w:val="31"/>
          <w:rFonts w:hint="eastAsia" w:ascii="宋体" w:hAnsi="宋体" w:eastAsia="宋体" w:cs="宋体"/>
          <w:sz w:val="24"/>
          <w:szCs w:val="24"/>
          <w:highlight w:val="none"/>
          <w:lang w:val="en-US" w:eastAsia="zh-CN"/>
        </w:rPr>
        <w:t>4、项目预算</w:t>
      </w:r>
      <w:r>
        <w:rPr>
          <w:rStyle w:val="31"/>
          <w:rFonts w:hint="eastAsia" w:ascii="宋体" w:hAnsi="宋体" w:eastAsia="宋体" w:cs="宋体"/>
          <w:color w:val="auto"/>
          <w:sz w:val="24"/>
          <w:szCs w:val="24"/>
          <w:highlight w:val="none"/>
          <w:lang w:val="en-US" w:eastAsia="zh-CN"/>
        </w:rPr>
        <w:t>：</w:t>
      </w:r>
      <w:r>
        <w:rPr>
          <w:rStyle w:val="31"/>
          <w:rFonts w:hint="eastAsia" w:ascii="宋体" w:hAnsi="宋体" w:cs="宋体"/>
          <w:color w:val="auto"/>
          <w:sz w:val="24"/>
          <w:szCs w:val="24"/>
          <w:highlight w:val="none"/>
          <w:lang w:val="en-US" w:eastAsia="zh-CN"/>
        </w:rPr>
        <w:t>47.92</w:t>
      </w:r>
      <w:r>
        <w:rPr>
          <w:rStyle w:val="31"/>
          <w:rFonts w:hint="eastAsia" w:ascii="宋体" w:hAnsi="宋体" w:eastAsia="宋体" w:cs="宋体"/>
          <w:color w:val="auto"/>
          <w:sz w:val="24"/>
          <w:szCs w:val="24"/>
          <w:highlight w:val="none"/>
          <w:lang w:val="en-US" w:eastAsia="zh-CN"/>
        </w:rPr>
        <w:t>万元</w:t>
      </w:r>
    </w:p>
    <w:p w14:paraId="2F33574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7E21FE1F">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rPr>
      </w:pPr>
      <w:r>
        <w:rPr>
          <w:rFonts w:hint="eastAsia" w:ascii="宋体" w:hAnsi="宋体" w:eastAsia="宋体" w:cs="宋体"/>
          <w:b w:val="0"/>
          <w:bCs/>
          <w:sz w:val="24"/>
          <w:szCs w:val="24"/>
          <w:highlight w:val="none"/>
          <w:u w:val="none"/>
          <w:lang w:val="en-US" w:eastAsia="zh-CN"/>
        </w:rPr>
        <w:t>1、</w:t>
      </w:r>
      <w:r>
        <w:rPr>
          <w:rFonts w:hint="eastAsia" w:ascii="宋体" w:hAnsi="宋体" w:eastAsia="宋体" w:cs="宋体"/>
          <w:b w:val="0"/>
          <w:bCs/>
          <w:sz w:val="24"/>
          <w:szCs w:val="32"/>
          <w:highlight w:val="none"/>
          <w:u w:val="none"/>
        </w:rPr>
        <w:t>须具备独立法人资格，如为家具</w:t>
      </w:r>
      <w:r>
        <w:rPr>
          <w:rFonts w:hint="eastAsia" w:ascii="宋体" w:hAnsi="宋体" w:eastAsia="宋体" w:cs="宋体"/>
          <w:b w:val="0"/>
          <w:bCs/>
          <w:sz w:val="24"/>
          <w:szCs w:val="32"/>
          <w:highlight w:val="none"/>
          <w:u w:val="none"/>
          <w:lang w:val="en-US" w:eastAsia="zh-CN"/>
        </w:rPr>
        <w:t>生产</w:t>
      </w:r>
      <w:r>
        <w:rPr>
          <w:rFonts w:hint="eastAsia" w:ascii="宋体" w:hAnsi="宋体" w:eastAsia="宋体" w:cs="宋体"/>
          <w:b w:val="0"/>
          <w:bCs/>
          <w:sz w:val="24"/>
          <w:szCs w:val="32"/>
          <w:highlight w:val="none"/>
          <w:u w:val="none"/>
        </w:rPr>
        <w:t>厂家，需提供营业执照、税务登记证、组织机构代码证或三证合一的营业执照</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32"/>
          <w:highlight w:val="none"/>
          <w:u w:val="none"/>
        </w:rPr>
        <w:t>；如为代理商需提供营业执照、税务登记证、组织机构代码证或三证合一的营业执照</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32"/>
          <w:highlight w:val="none"/>
          <w:u w:val="none"/>
        </w:rPr>
        <w:t>，</w:t>
      </w:r>
      <w:r>
        <w:rPr>
          <w:rFonts w:hint="eastAsia" w:ascii="宋体" w:hAnsi="宋体" w:eastAsia="宋体" w:cs="宋体"/>
          <w:b w:val="0"/>
          <w:bCs/>
          <w:sz w:val="24"/>
          <w:szCs w:val="32"/>
          <w:highlight w:val="none"/>
          <w:u w:val="none"/>
          <w:lang w:val="en-US" w:eastAsia="zh-CN"/>
        </w:rPr>
        <w:t>还需提供</w:t>
      </w:r>
      <w:r>
        <w:rPr>
          <w:rFonts w:hint="eastAsia" w:ascii="宋体" w:hAnsi="宋体" w:eastAsia="宋体" w:cs="宋体"/>
          <w:b w:val="0"/>
          <w:bCs/>
          <w:sz w:val="24"/>
          <w:szCs w:val="32"/>
          <w:highlight w:val="none"/>
          <w:u w:val="none"/>
        </w:rPr>
        <w:t>家具</w:t>
      </w:r>
      <w:r>
        <w:rPr>
          <w:rFonts w:hint="eastAsia" w:ascii="宋体" w:hAnsi="宋体" w:eastAsia="宋体" w:cs="宋体"/>
          <w:b w:val="0"/>
          <w:bCs/>
          <w:sz w:val="24"/>
          <w:szCs w:val="32"/>
          <w:highlight w:val="none"/>
          <w:u w:val="none"/>
          <w:lang w:val="en-US" w:eastAsia="zh-CN"/>
        </w:rPr>
        <w:t>生产</w:t>
      </w:r>
      <w:r>
        <w:rPr>
          <w:rFonts w:hint="eastAsia" w:ascii="宋体" w:hAnsi="宋体" w:eastAsia="宋体" w:cs="宋体"/>
          <w:b w:val="0"/>
          <w:bCs/>
          <w:sz w:val="24"/>
          <w:szCs w:val="32"/>
          <w:highlight w:val="none"/>
          <w:u w:val="none"/>
        </w:rPr>
        <w:t>厂家</w:t>
      </w:r>
      <w:r>
        <w:rPr>
          <w:rFonts w:hint="eastAsia" w:ascii="宋体" w:hAnsi="宋体" w:eastAsia="宋体" w:cs="宋体"/>
          <w:b w:val="0"/>
          <w:bCs/>
          <w:sz w:val="24"/>
          <w:szCs w:val="32"/>
          <w:highlight w:val="none"/>
          <w:u w:val="none"/>
          <w:lang w:eastAsia="zh-CN"/>
        </w:rPr>
        <w:t>针对本项目的</w:t>
      </w:r>
      <w:r>
        <w:rPr>
          <w:rFonts w:hint="eastAsia" w:ascii="宋体" w:hAnsi="宋体" w:eastAsia="宋体" w:cs="宋体"/>
          <w:b w:val="0"/>
          <w:bCs/>
          <w:sz w:val="24"/>
          <w:szCs w:val="32"/>
          <w:highlight w:val="none"/>
          <w:u w:val="none"/>
        </w:rPr>
        <w:t>的唯一授权书</w:t>
      </w:r>
      <w:r>
        <w:rPr>
          <w:rFonts w:hint="eastAsia" w:ascii="宋体" w:hAnsi="宋体" w:eastAsia="宋体" w:cs="宋体"/>
          <w:b w:val="0"/>
          <w:bCs/>
          <w:sz w:val="24"/>
          <w:szCs w:val="32"/>
          <w:highlight w:val="none"/>
          <w:u w:val="none"/>
          <w:lang w:eastAsia="zh-CN"/>
        </w:rPr>
        <w:t>（原件）</w:t>
      </w:r>
      <w:r>
        <w:rPr>
          <w:rFonts w:hint="eastAsia" w:ascii="宋体" w:hAnsi="宋体" w:eastAsia="宋体" w:cs="宋体"/>
          <w:b w:val="0"/>
          <w:bCs/>
          <w:sz w:val="24"/>
          <w:szCs w:val="24"/>
          <w:highlight w:val="none"/>
          <w:u w:val="none"/>
        </w:rPr>
        <w:t>；</w:t>
      </w:r>
    </w:p>
    <w:p w14:paraId="5BBE67E1">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eastAsia="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、法人授权书原件</w:t>
      </w:r>
      <w:r>
        <w:rPr>
          <w:rFonts w:hint="eastAsia" w:ascii="宋体" w:hAnsi="宋体" w:eastAsia="宋体" w:cs="宋体"/>
          <w:b w:val="0"/>
          <w:bCs/>
          <w:sz w:val="24"/>
          <w:szCs w:val="24"/>
          <w:highlight w:val="none"/>
          <w:u w:val="none"/>
          <w:lang w:val="en-US" w:eastAsia="zh-CN"/>
        </w:rPr>
        <w:t>、</w:t>
      </w:r>
      <w:r>
        <w:rPr>
          <w:rFonts w:hint="eastAsia" w:ascii="宋体" w:hAnsi="宋体" w:eastAsia="宋体" w:cs="宋体"/>
          <w:b w:val="0"/>
          <w:bCs/>
          <w:sz w:val="24"/>
          <w:szCs w:val="24"/>
          <w:highlight w:val="none"/>
          <w:u w:val="none"/>
          <w:lang w:eastAsia="zh-CN"/>
        </w:rPr>
        <w:t>法人身份证</w:t>
      </w:r>
      <w:r>
        <w:rPr>
          <w:rFonts w:hint="eastAsia" w:ascii="宋体" w:hAnsi="宋体" w:eastAsia="宋体" w:cs="宋体"/>
          <w:b w:val="0"/>
          <w:bCs/>
          <w:sz w:val="24"/>
          <w:szCs w:val="24"/>
          <w:highlight w:val="none"/>
          <w:u w:val="none"/>
          <w:lang w:val="en-US" w:eastAsia="zh-CN"/>
        </w:rPr>
        <w:t>及</w:t>
      </w:r>
      <w:r>
        <w:rPr>
          <w:rFonts w:hint="eastAsia" w:ascii="宋体" w:hAnsi="宋体" w:eastAsia="宋体" w:cs="宋体"/>
          <w:b w:val="0"/>
          <w:bCs/>
          <w:sz w:val="24"/>
          <w:szCs w:val="24"/>
          <w:highlight w:val="none"/>
          <w:u w:val="none"/>
          <w:lang w:eastAsia="zh-CN"/>
        </w:rPr>
        <w:t>被授权人身份证复印件（</w:t>
      </w:r>
      <w:r>
        <w:rPr>
          <w:rFonts w:hint="eastAsia" w:ascii="宋体" w:hAnsi="宋体" w:eastAsia="宋体" w:cs="宋体"/>
          <w:b w:val="0"/>
          <w:bCs/>
          <w:sz w:val="24"/>
          <w:szCs w:val="24"/>
          <w:highlight w:val="none"/>
          <w:u w:val="none"/>
          <w:lang w:val="en-US" w:eastAsia="zh-CN"/>
        </w:rPr>
        <w:t>法人参加的仅需提供法人身份证复印件</w:t>
      </w:r>
      <w:r>
        <w:rPr>
          <w:rFonts w:hint="eastAsia" w:ascii="宋体" w:hAnsi="宋体" w:eastAsia="宋体" w:cs="宋体"/>
          <w:b w:val="0"/>
          <w:bCs/>
          <w:sz w:val="24"/>
          <w:szCs w:val="24"/>
          <w:highlight w:val="none"/>
          <w:u w:val="none"/>
          <w:lang w:eastAsia="zh-CN"/>
        </w:rPr>
        <w:t>）；</w:t>
      </w:r>
    </w:p>
    <w:p w14:paraId="391B9A4D">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sz w:val="24"/>
          <w:szCs w:val="24"/>
          <w:highlight w:val="none"/>
          <w:u w:val="none"/>
          <w:lang w:val="en-US" w:eastAsia="zh-CN"/>
        </w:rPr>
        <w:t>3、投标人须在“信用中国”网站（www.creditchina.gov.cn）的“信用服务-失信被执行人”进行查询信用记录（以截图打印并加盖单位鲜章为准）；</w:t>
      </w:r>
    </w:p>
    <w:p w14:paraId="12B7C7FD">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val="en-US" w:eastAsia="zh-CN"/>
        </w:rPr>
        <w:t>4</w:t>
      </w:r>
      <w:r>
        <w:rPr>
          <w:rFonts w:hint="eastAsia" w:ascii="宋体" w:hAnsi="宋体" w:eastAsia="宋体" w:cs="宋体"/>
          <w:b w:val="0"/>
          <w:bCs/>
          <w:color w:val="auto"/>
          <w:sz w:val="24"/>
          <w:szCs w:val="24"/>
          <w:highlight w:val="none"/>
          <w:u w:val="none"/>
          <w:lang w:eastAsia="zh-CN"/>
        </w:rPr>
        <w:t>、以上复印件均须加盖单位鲜章（不接受电脑扫描件作为原件资质）。</w:t>
      </w:r>
    </w:p>
    <w:p w14:paraId="0759BFD4">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338B646C">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272B0C59">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0C1D9BE6">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下</w:t>
      </w:r>
      <w:r>
        <w:rPr>
          <w:rFonts w:hint="eastAsia" w:ascii="宋体" w:hAnsi="宋体" w:eastAsia="宋体" w:cs="宋体"/>
          <w:color w:val="auto"/>
          <w:sz w:val="24"/>
          <w:szCs w:val="24"/>
          <w:highlight w:val="none"/>
          <w:lang w:eastAsia="zh-CN"/>
        </w:rPr>
        <w:t>午</w:t>
      </w:r>
      <w:r>
        <w:rPr>
          <w:rFonts w:hint="eastAsia" w:ascii="宋体" w:hAnsi="宋体" w:eastAsia="宋体" w:cs="宋体"/>
          <w:color w:val="auto"/>
          <w:sz w:val="24"/>
          <w:szCs w:val="24"/>
          <w:highlight w:val="none"/>
          <w:lang w:val="en-US" w:eastAsia="zh-CN"/>
        </w:rPr>
        <w:t>14:3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迟到10分钟后被视为自动弃权</w:t>
      </w:r>
      <w:r>
        <w:rPr>
          <w:rFonts w:hint="eastAsia" w:ascii="宋体" w:hAnsi="宋体" w:eastAsia="宋体" w:cs="宋体"/>
          <w:color w:val="auto"/>
          <w:sz w:val="24"/>
          <w:szCs w:val="24"/>
          <w:highlight w:val="none"/>
          <w:lang w:eastAsia="zh-CN"/>
        </w:rPr>
        <w:t>）</w:t>
      </w:r>
    </w:p>
    <w:p w14:paraId="6CCB4A5B">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49980566">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bookmarkStart w:id="67" w:name="_GoBack"/>
      <w:bookmarkEnd w:id="67"/>
      <w:r>
        <w:rPr>
          <w:rFonts w:hint="eastAsia" w:ascii="宋体" w:hAnsi="宋体" w:eastAsia="宋体" w:cs="宋体"/>
          <w:color w:val="auto"/>
          <w:sz w:val="24"/>
          <w:szCs w:val="24"/>
          <w:highlight w:val="none"/>
          <w:lang w:val="en-US" w:eastAsia="zh-CN"/>
        </w:rPr>
        <w:t>（公对公转账，报名</w:t>
      </w:r>
      <w:r>
        <w:rPr>
          <w:rFonts w:hint="eastAsia" w:ascii="宋体" w:hAnsi="宋体" w:cs="宋体"/>
          <w:color w:val="auto"/>
          <w:sz w:val="24"/>
          <w:szCs w:val="24"/>
          <w:highlight w:val="none"/>
          <w:lang w:val="en-US" w:eastAsia="zh-CN"/>
        </w:rPr>
        <w:t>期间</w:t>
      </w:r>
      <w:r>
        <w:rPr>
          <w:rFonts w:hint="eastAsia" w:ascii="宋体" w:hAnsi="宋体" w:eastAsia="宋体" w:cs="宋体"/>
          <w:color w:val="auto"/>
          <w:sz w:val="24"/>
          <w:szCs w:val="24"/>
          <w:highlight w:val="none"/>
          <w:lang w:val="en-US" w:eastAsia="zh-CN"/>
        </w:rPr>
        <w:t>缴纳）</w:t>
      </w:r>
    </w:p>
    <w:p w14:paraId="5AB357E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投标保证金缴纳账户</w:t>
      </w:r>
      <w:r>
        <w:rPr>
          <w:rStyle w:val="31"/>
          <w:rFonts w:hint="eastAsia" w:ascii="宋体" w:hAnsi="宋体" w:cs="宋体"/>
          <w:b/>
          <w:bCs w:val="0"/>
          <w:sz w:val="24"/>
          <w:szCs w:val="24"/>
          <w:highlight w:val="none"/>
          <w:lang w:val="en-US" w:eastAsia="zh-CN"/>
        </w:rPr>
        <w:t>：</w:t>
      </w:r>
    </w:p>
    <w:p w14:paraId="5818530C">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单位名称：陕西中医药大学第二附属医院</w:t>
      </w:r>
    </w:p>
    <w:p w14:paraId="0EF47898">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开户行名称：建行咸阳渭阳路支行</w:t>
      </w:r>
    </w:p>
    <w:p w14:paraId="759C2A07">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账号：61001635208050004866</w:t>
      </w:r>
    </w:p>
    <w:p w14:paraId="27103CB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1.缴费时请备注“项目名称+投标保证金”字样；</w:t>
      </w:r>
    </w:p>
    <w:p w14:paraId="4CBA19CD">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2.请务必在招标项目报名期间缴纳投标保证金，逾期缴纳视为无效报名，报名结束第二天招标采购办进行核验投标保证金缴纳情况；</w:t>
      </w:r>
    </w:p>
    <w:p w14:paraId="046A024D">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1"/>
          <w:rFonts w:hint="eastAsia" w:ascii="宋体" w:hAnsi="宋体" w:eastAsia="宋体" w:cs="宋体"/>
          <w:bCs/>
          <w:sz w:val="24"/>
          <w:szCs w:val="24"/>
          <w:highlight w:val="none"/>
          <w:lang w:val="en-US" w:eastAsia="zh-CN"/>
        </w:rPr>
        <w:t>3.退还方式：未中标供应商的投标保证金在中标公告公示结束后7日内无息全额退还；中标供应商的投标保证金在合同签订后7日内无息全额退还。</w:t>
      </w:r>
    </w:p>
    <w:p w14:paraId="44AE4E29">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吴</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62558BC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eastAsia="宋体" w:cs="宋体"/>
          <w:color w:val="auto"/>
          <w:sz w:val="24"/>
          <w:szCs w:val="24"/>
          <w:highlight w:val="none"/>
          <w:lang w:val="en-US" w:eastAsia="zh-CN"/>
        </w:rPr>
        <w:t>15399101541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高</w:t>
      </w:r>
      <w:r>
        <w:rPr>
          <w:rFonts w:hint="eastAsia" w:ascii="宋体" w:hAnsi="宋体" w:eastAsia="宋体" w:cs="宋体"/>
          <w:color w:val="auto"/>
          <w:sz w:val="24"/>
          <w:szCs w:val="24"/>
          <w:highlight w:val="none"/>
          <w:lang w:eastAsia="zh-CN"/>
        </w:rPr>
        <w:t>老师）</w:t>
      </w:r>
    </w:p>
    <w:p w14:paraId="579E93B9">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48EE374">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14:paraId="30F0772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应认真浏览</w:t>
      </w:r>
      <w:r>
        <w:rPr>
          <w:rStyle w:val="31"/>
          <w:rFonts w:hint="eastAsia" w:ascii="宋体" w:hAnsi="宋体" w:eastAsia="宋体" w:cs="宋体"/>
          <w:bCs/>
          <w:sz w:val="24"/>
          <w:szCs w:val="24"/>
          <w:highlight w:val="none"/>
          <w:lang w:val="en-US" w:eastAsia="zh-CN"/>
        </w:rPr>
        <w:t>招标</w:t>
      </w:r>
      <w:r>
        <w:rPr>
          <w:rStyle w:val="31"/>
          <w:rFonts w:hint="eastAsia" w:ascii="宋体" w:hAnsi="宋体" w:eastAsia="宋体" w:cs="宋体"/>
          <w:bCs/>
          <w:sz w:val="24"/>
          <w:szCs w:val="24"/>
          <w:highlight w:val="none"/>
        </w:rPr>
        <w:t>公告及</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，将</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中的资格要求与</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已取得的资格文件进行对照，满足资格文件要求的，方可参与。</w:t>
      </w:r>
    </w:p>
    <w:p w14:paraId="77CE36E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2、报名时不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将失效的证书复印件装订在资格审查资料中。</w:t>
      </w:r>
    </w:p>
    <w:p w14:paraId="6D1B88DE">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eastAsia="zh-CN"/>
        </w:rPr>
      </w:pPr>
      <w:r>
        <w:rPr>
          <w:rStyle w:val="31"/>
          <w:rFonts w:hint="eastAsia" w:ascii="宋体" w:hAnsi="宋体" w:eastAsia="宋体" w:cs="宋体"/>
          <w:bCs/>
          <w:sz w:val="24"/>
          <w:szCs w:val="24"/>
          <w:highlight w:val="none"/>
        </w:rPr>
        <w:t>3、</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在编制资格审查</w:t>
      </w:r>
      <w:r>
        <w:rPr>
          <w:rStyle w:val="31"/>
          <w:rFonts w:hint="eastAsia" w:ascii="宋体" w:hAnsi="宋体" w:eastAsia="宋体" w:cs="宋体"/>
          <w:bCs/>
          <w:sz w:val="24"/>
          <w:szCs w:val="24"/>
          <w:highlight w:val="none"/>
          <w:lang w:val="en-US" w:eastAsia="zh-CN"/>
        </w:rPr>
        <w:t>文件</w:t>
      </w:r>
      <w:r>
        <w:rPr>
          <w:rStyle w:val="31"/>
          <w:rFonts w:hint="eastAsia" w:ascii="宋体" w:hAnsi="宋体" w:eastAsia="宋体" w:cs="宋体"/>
          <w:bCs/>
          <w:sz w:val="24"/>
          <w:szCs w:val="24"/>
          <w:highlight w:val="none"/>
        </w:rPr>
        <w:t>时，应按照</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中要求的提供，不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遗漏，不要人为增加</w:t>
      </w:r>
      <w:r>
        <w:rPr>
          <w:rStyle w:val="31"/>
          <w:rFonts w:hint="eastAsia" w:ascii="宋体" w:hAnsi="宋体" w:eastAsia="宋体" w:cs="宋体"/>
          <w:bCs/>
          <w:sz w:val="24"/>
          <w:szCs w:val="24"/>
          <w:highlight w:val="none"/>
          <w:lang w:eastAsia="zh-CN"/>
        </w:rPr>
        <w:t>。</w:t>
      </w:r>
    </w:p>
    <w:p w14:paraId="174C8AA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应对</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的要求做出实质响应</w:t>
      </w:r>
      <w:r>
        <w:rPr>
          <w:rStyle w:val="31"/>
          <w:rFonts w:hint="eastAsia" w:ascii="宋体" w:hAnsi="宋体" w:eastAsia="宋体" w:cs="宋体"/>
          <w:bCs/>
          <w:sz w:val="24"/>
          <w:szCs w:val="24"/>
          <w:highlight w:val="none"/>
          <w:lang w:eastAsia="zh-CN"/>
        </w:rPr>
        <w:t>，</w:t>
      </w:r>
      <w:r>
        <w:rPr>
          <w:rStyle w:val="31"/>
          <w:rFonts w:hint="eastAsia" w:ascii="宋体" w:hAnsi="宋体" w:eastAsia="宋体" w:cs="宋体"/>
          <w:bCs/>
          <w:sz w:val="24"/>
          <w:szCs w:val="24"/>
          <w:highlight w:val="none"/>
        </w:rPr>
        <w:t>符合</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的所有条款、条件和规定且无</w:t>
      </w:r>
      <w:r>
        <w:rPr>
          <w:rStyle w:val="31"/>
          <w:rFonts w:hint="eastAsia" w:ascii="宋体" w:hAnsi="宋体" w:eastAsia="宋体" w:cs="宋体"/>
          <w:bCs/>
          <w:sz w:val="24"/>
          <w:szCs w:val="24"/>
          <w:highlight w:val="none"/>
          <w:lang w:val="en-US" w:eastAsia="zh-CN"/>
        </w:rPr>
        <w:t>负</w:t>
      </w:r>
      <w:r>
        <w:rPr>
          <w:rStyle w:val="31"/>
          <w:rFonts w:hint="eastAsia" w:ascii="宋体" w:hAnsi="宋体" w:eastAsia="宋体" w:cs="宋体"/>
          <w:bCs/>
          <w:sz w:val="24"/>
          <w:szCs w:val="24"/>
          <w:highlight w:val="none"/>
        </w:rPr>
        <w:t>偏离。</w:t>
      </w:r>
    </w:p>
    <w:p w14:paraId="2EF18E5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5、</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中有近三年业绩证明，尽量提供在陕的销售</w:t>
      </w:r>
      <w:r>
        <w:rPr>
          <w:rStyle w:val="31"/>
          <w:rFonts w:hint="eastAsia" w:ascii="宋体" w:hAnsi="宋体" w:eastAsia="宋体" w:cs="宋体"/>
          <w:bCs/>
          <w:sz w:val="24"/>
          <w:szCs w:val="24"/>
          <w:highlight w:val="none"/>
          <w:lang w:eastAsia="zh-CN"/>
        </w:rPr>
        <w:t>或服务</w:t>
      </w:r>
      <w:r>
        <w:rPr>
          <w:rStyle w:val="31"/>
          <w:rFonts w:hint="eastAsia" w:ascii="宋体" w:hAnsi="宋体" w:eastAsia="宋体" w:cs="宋体"/>
          <w:bCs/>
          <w:sz w:val="24"/>
          <w:szCs w:val="24"/>
          <w:highlight w:val="none"/>
        </w:rPr>
        <w:t>合同。</w:t>
      </w:r>
    </w:p>
    <w:p w14:paraId="4275418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6、</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应对招标项目</w:t>
      </w:r>
      <w:r>
        <w:rPr>
          <w:rStyle w:val="31"/>
          <w:rFonts w:hint="eastAsia" w:ascii="宋体" w:hAnsi="宋体" w:eastAsia="宋体" w:cs="宋体"/>
          <w:bCs/>
          <w:sz w:val="24"/>
          <w:szCs w:val="24"/>
          <w:highlight w:val="none"/>
          <w:lang w:val="en-US" w:eastAsia="zh-CN"/>
        </w:rPr>
        <w:t>做出</w:t>
      </w:r>
      <w:r>
        <w:rPr>
          <w:rStyle w:val="31"/>
          <w:rFonts w:hint="eastAsia" w:ascii="宋体" w:hAnsi="宋体" w:eastAsia="宋体" w:cs="宋体"/>
          <w:bCs/>
          <w:sz w:val="24"/>
          <w:szCs w:val="24"/>
          <w:highlight w:val="none"/>
        </w:rPr>
        <w:t>合理的</w:t>
      </w:r>
      <w:r>
        <w:rPr>
          <w:rStyle w:val="31"/>
          <w:rFonts w:hint="eastAsia" w:ascii="宋体" w:hAnsi="宋体" w:eastAsia="宋体" w:cs="宋体"/>
          <w:bCs/>
          <w:sz w:val="24"/>
          <w:szCs w:val="24"/>
          <w:highlight w:val="none"/>
          <w:lang w:val="en-US" w:eastAsia="zh-CN"/>
        </w:rPr>
        <w:t>报价</w:t>
      </w:r>
      <w:r>
        <w:rPr>
          <w:rStyle w:val="31"/>
          <w:rFonts w:hint="eastAsia" w:ascii="宋体" w:hAnsi="宋体" w:eastAsia="宋体" w:cs="宋体"/>
          <w:bCs/>
          <w:sz w:val="24"/>
          <w:szCs w:val="24"/>
          <w:highlight w:val="none"/>
        </w:rPr>
        <w:t>，若报价高出预算价格或中标价格高于市场价一经核实，按废标处理。</w:t>
      </w:r>
    </w:p>
    <w:p w14:paraId="47B63E4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8、开评标过程中</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应准确回答</w:t>
      </w:r>
      <w:r>
        <w:rPr>
          <w:rStyle w:val="31"/>
          <w:rFonts w:hint="eastAsia" w:ascii="宋体" w:hAnsi="宋体" w:eastAsia="宋体" w:cs="宋体"/>
          <w:bCs/>
          <w:sz w:val="24"/>
          <w:szCs w:val="24"/>
          <w:highlight w:val="none"/>
          <w:lang w:val="en-US" w:eastAsia="zh-CN"/>
        </w:rPr>
        <w:t>评标专家</w:t>
      </w:r>
      <w:r>
        <w:rPr>
          <w:rStyle w:val="31"/>
          <w:rFonts w:hint="eastAsia" w:ascii="宋体" w:hAnsi="宋体" w:eastAsia="宋体" w:cs="宋体"/>
          <w:bCs/>
          <w:sz w:val="24"/>
          <w:szCs w:val="24"/>
          <w:highlight w:val="none"/>
        </w:rPr>
        <w:t>的质询。</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5F3312B5">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3D1B1CFA">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1423D38F">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6120F67D">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5640BBC2">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0461E80C">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4D62D19">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298386DA">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63524004">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770B5E06">
      <w:pPr>
        <w:pStyle w:val="14"/>
        <w:pageBreakBefore w:val="0"/>
        <w:kinsoku/>
        <w:wordWrap/>
        <w:overflowPunct/>
        <w:topLinePunct w:val="0"/>
        <w:bidi w:val="0"/>
        <w:spacing w:line="360" w:lineRule="auto"/>
        <w:ind w:left="0" w:leftChars="0"/>
        <w:textAlignment w:val="auto"/>
        <w:rPr>
          <w:rStyle w:val="31"/>
          <w:rFonts w:hint="eastAsia" w:ascii="宋体" w:hAnsi="宋体" w:eastAsia="宋体" w:cs="宋体"/>
          <w:b/>
          <w:sz w:val="24"/>
          <w:szCs w:val="24"/>
          <w:highlight w:val="none"/>
        </w:rPr>
      </w:pPr>
    </w:p>
    <w:p w14:paraId="4B892C73">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20B8932B">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33735291">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1FD11E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招标</w:t>
      </w:r>
      <w:r>
        <w:rPr>
          <w:rFonts w:hint="eastAsia" w:ascii="宋体" w:hAnsi="宋体" w:eastAsia="宋体" w:cs="宋体"/>
          <w:b/>
          <w:kern w:val="2"/>
          <w:sz w:val="32"/>
          <w:szCs w:val="32"/>
          <w:highlight w:val="none"/>
          <w:lang w:val="en-US" w:eastAsia="zh-CN" w:bidi="ar-SA"/>
        </w:rPr>
        <w:t>内容及要求</w:t>
      </w:r>
    </w:p>
    <w:p w14:paraId="1DF756DE">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项目概况</w:t>
      </w:r>
    </w:p>
    <w:p w14:paraId="54F499E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经过综合打分、按</w:t>
      </w:r>
      <w:r>
        <w:rPr>
          <w:rFonts w:hint="eastAsia" w:ascii="宋体" w:hAnsi="宋体" w:cs="宋体"/>
          <w:color w:val="auto"/>
          <w:kern w:val="0"/>
          <w:sz w:val="24"/>
          <w:szCs w:val="24"/>
          <w:highlight w:val="none"/>
          <w:lang w:eastAsia="zh-CN"/>
        </w:rPr>
        <w:t>得分</w:t>
      </w:r>
      <w:r>
        <w:rPr>
          <w:rFonts w:hint="eastAsia" w:ascii="宋体" w:hAnsi="宋体" w:cs="宋体"/>
          <w:color w:val="auto"/>
          <w:kern w:val="0"/>
          <w:sz w:val="24"/>
          <w:szCs w:val="24"/>
          <w:highlight w:val="none"/>
          <w:lang w:val="en-US" w:eastAsia="zh-CN"/>
        </w:rPr>
        <w:t>排名顺序</w:t>
      </w:r>
      <w:r>
        <w:rPr>
          <w:rFonts w:hint="eastAsia" w:ascii="宋体" w:hAnsi="宋体" w:cs="宋体"/>
          <w:color w:val="auto"/>
          <w:kern w:val="0"/>
          <w:sz w:val="24"/>
          <w:szCs w:val="24"/>
          <w:highlight w:val="none"/>
        </w:rPr>
        <w:t>入围</w:t>
      </w:r>
      <w:r>
        <w:rPr>
          <w:rFonts w:hint="eastAsia" w:ascii="宋体" w:hAnsi="宋体" w:cs="宋体"/>
          <w:color w:val="auto"/>
          <w:kern w:val="0"/>
          <w:sz w:val="24"/>
          <w:szCs w:val="24"/>
          <w:highlight w:val="none"/>
          <w:lang w:eastAsia="zh-CN"/>
        </w:rPr>
        <w:t>三</w:t>
      </w:r>
      <w:r>
        <w:rPr>
          <w:rFonts w:hint="eastAsia" w:ascii="宋体" w:hAnsi="宋体" w:cs="宋体"/>
          <w:color w:val="auto"/>
          <w:kern w:val="0"/>
          <w:sz w:val="24"/>
          <w:szCs w:val="24"/>
          <w:highlight w:val="none"/>
        </w:rPr>
        <w:t>家公司签订合作协议</w:t>
      </w:r>
      <w:r>
        <w:rPr>
          <w:rFonts w:hint="eastAsia" w:ascii="宋体" w:hAnsi="宋体" w:cs="宋体"/>
          <w:color w:val="auto"/>
          <w:kern w:val="0"/>
          <w:sz w:val="24"/>
          <w:szCs w:val="24"/>
          <w:highlight w:val="none"/>
          <w:lang w:eastAsia="zh-CN"/>
        </w:rPr>
        <w:t>。</w:t>
      </w:r>
    </w:p>
    <w:p w14:paraId="6A66AE24">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2、基础家具：家具名称、规格、参数及最高限制单价明细表，见附表。由遴选入围供货单位按照具体签订合同价格，以轮转方式进行供货。</w:t>
      </w:r>
    </w:p>
    <w:p w14:paraId="29D66CF0">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非基础家具：科室申请预算在2万元及以下的非基础清单内家具，在遴选中标的三家单位中进行议价，以最低价中标单位承担具体科室非基础家具供货事宜。确定后双方就非基础家具价款、规格等内容签订工作联系函予以明确。</w:t>
      </w:r>
    </w:p>
    <w:p w14:paraId="66BB5643">
      <w:pPr>
        <w:spacing w:line="360" w:lineRule="auto"/>
        <w:ind w:firstLine="480" w:firstLineChars="200"/>
        <w:rPr>
          <w:rFonts w:hint="eastAsia"/>
          <w:lang w:val="en-US" w:eastAsia="zh-CN"/>
        </w:rPr>
      </w:pPr>
      <w:r>
        <w:rPr>
          <w:rFonts w:hint="eastAsia" w:ascii="宋体" w:hAnsi="宋体" w:cs="宋体"/>
          <w:color w:val="auto"/>
          <w:kern w:val="0"/>
          <w:sz w:val="24"/>
          <w:szCs w:val="24"/>
          <w:highlight w:val="none"/>
          <w:lang w:val="en-US" w:eastAsia="zh-CN"/>
        </w:rPr>
        <w:t>所有家具要求与医院现有家具颜色一致，本项目不组织现场踏勘，各投标单位可自行现场踏勘。</w:t>
      </w:r>
    </w:p>
    <w:p w14:paraId="0C38678A">
      <w:pPr>
        <w:spacing w:line="360" w:lineRule="auto"/>
        <w:ind w:firstLine="480" w:firstLineChars="200"/>
        <w:rPr>
          <w:rFonts w:hint="eastAsia" w:ascii="宋体" w:hAnsi="宋体"/>
          <w:color w:val="auto"/>
          <w:sz w:val="24"/>
          <w:szCs w:val="24"/>
          <w:highlight w:val="none"/>
          <w:lang w:eastAsia="zh-CN"/>
        </w:rPr>
      </w:pPr>
      <w:r>
        <w:rPr>
          <w:rFonts w:hint="eastAsia" w:ascii="宋体" w:hAnsi="宋体" w:cs="宋体"/>
          <w:color w:val="auto"/>
          <w:kern w:val="0"/>
          <w:sz w:val="24"/>
          <w:szCs w:val="24"/>
          <w:highlight w:val="none"/>
          <w:lang w:val="en-US" w:eastAsia="zh-CN"/>
        </w:rPr>
        <w:t>3、合作</w:t>
      </w:r>
      <w:r>
        <w:rPr>
          <w:rFonts w:hint="eastAsia" w:ascii="宋体" w:hAnsi="宋体" w:cs="宋体"/>
          <w:color w:val="auto"/>
          <w:kern w:val="0"/>
          <w:sz w:val="24"/>
          <w:szCs w:val="24"/>
          <w:highlight w:val="none"/>
        </w:rPr>
        <w:t>期限</w:t>
      </w:r>
      <w:r>
        <w:rPr>
          <w:rFonts w:hint="eastAsia" w:ascii="宋体" w:hAnsi="宋体" w:cs="宋体"/>
          <w:color w:val="auto"/>
          <w:kern w:val="0"/>
          <w:sz w:val="24"/>
          <w:szCs w:val="24"/>
          <w:highlight w:val="none"/>
          <w:lang w:eastAsia="zh-CN"/>
        </w:rPr>
        <w:t>：</w:t>
      </w:r>
      <w:r>
        <w:rPr>
          <w:rFonts w:hint="eastAsia" w:ascii="宋体" w:hAnsi="宋体"/>
          <w:color w:val="auto"/>
          <w:sz w:val="24"/>
          <w:szCs w:val="24"/>
          <w:highlight w:val="none"/>
        </w:rPr>
        <w:t>遴选入围周期为</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年</w:t>
      </w:r>
      <w:r>
        <w:rPr>
          <w:rFonts w:hint="eastAsia" w:ascii="宋体" w:hAnsi="宋体"/>
          <w:color w:val="auto"/>
          <w:sz w:val="24"/>
          <w:szCs w:val="24"/>
          <w:highlight w:val="none"/>
          <w:lang w:eastAsia="zh-CN"/>
        </w:rPr>
        <w:t>。</w:t>
      </w:r>
    </w:p>
    <w:p w14:paraId="12748091">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货物的生产、安装、维修、检验、验收等按照以下原则执行：有国家标准的执行国家标准；无国家标准的执行行业标准；无行业标准的执行地方标准；无地方标准的执行企业标准。</w:t>
      </w:r>
    </w:p>
    <w:p w14:paraId="44E206A3">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如果在技术参数或配置中标明了品牌或产地，则仅供参考，并非指定，但投标人提供的货物必须满足主要技术参数及配置要求，投标人可以选用替代的方案，但这种替代整体上要优于或相当于招标文件的相关要求。</w:t>
      </w:r>
    </w:p>
    <w:p w14:paraId="3AD84341">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所有货物（包括零部件）须为全新的、未使用过的原装正品，并完全符合国家质量标准，提供厂家出具的合格证书、货物的技术参数及配置情况必须由供应商提供国家相关检测机构出具的检验报告、生产厂家公开发布的印刷资料等技术资料予以支持。没有技术资料支持的技术参数及配置不能视为响应。 </w:t>
      </w:r>
    </w:p>
    <w:p w14:paraId="43D8D22C">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技术支持</w:t>
      </w:r>
    </w:p>
    <w:p w14:paraId="10EEA753">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cs="宋体"/>
          <w:sz w:val="24"/>
          <w:szCs w:val="24"/>
          <w:highlight w:val="none"/>
        </w:rPr>
        <w:t>中标人应向采购人提供全方位、及时而有效的技术支持和服务。</w:t>
      </w:r>
    </w:p>
    <w:p w14:paraId="2EC44600">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rPr>
        <w:t>中标人负责供货、设计、安装、调试。</w:t>
      </w:r>
    </w:p>
    <w:p w14:paraId="5F555EF4">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rPr>
        <w:t>中标人负责将货物的全部有关技术文件（外文应提供中文翻译资料，下同）、资料、测试、验收报告等汇集成册交付采购人，涉及进口的产品或部件配件软件等须提供中国海关进口货物报关单、完税证明及商检证明等材料。</w:t>
      </w:r>
    </w:p>
    <w:p w14:paraId="7981AB1A">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质保及售后服务</w:t>
      </w:r>
    </w:p>
    <w:p w14:paraId="05B954DF">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cs="宋体"/>
          <w:sz w:val="24"/>
          <w:szCs w:val="24"/>
          <w:highlight w:val="none"/>
        </w:rPr>
        <w:t>中标人须提供</w:t>
      </w:r>
      <w:r>
        <w:rPr>
          <w:rFonts w:hint="eastAsia" w:ascii="宋体" w:hAnsi="宋体" w:cs="宋体"/>
          <w:sz w:val="24"/>
          <w:szCs w:val="24"/>
          <w:highlight w:val="none"/>
          <w:lang w:eastAsia="zh-CN"/>
        </w:rPr>
        <w:t>至</w:t>
      </w:r>
      <w:r>
        <w:rPr>
          <w:rFonts w:hint="eastAsia" w:ascii="宋体" w:hAnsi="宋体" w:cs="宋体"/>
          <w:color w:val="auto"/>
          <w:sz w:val="24"/>
          <w:szCs w:val="24"/>
          <w:highlight w:val="none"/>
          <w:lang w:eastAsia="zh-CN"/>
        </w:rPr>
        <w:t>少</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年质</w:t>
      </w:r>
      <w:r>
        <w:rPr>
          <w:rFonts w:hint="eastAsia" w:ascii="宋体" w:hAnsi="宋体" w:cs="宋体"/>
          <w:sz w:val="24"/>
          <w:szCs w:val="24"/>
          <w:highlight w:val="none"/>
        </w:rPr>
        <w:t>保，所有质保费用均已包含在投标报价中，质保期满后，应提供优先的有偿售后服务及按不高于投标文件中主要配件、易损件清单所报价格供应原厂零配件等。</w:t>
      </w:r>
    </w:p>
    <w:p w14:paraId="7335C860">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rPr>
        <w:t>中标人须设有维修服务电话，负责解答用户在设备使用中遇到的问题，及时提出解决问题的建议和操作方法。</w:t>
      </w:r>
    </w:p>
    <w:p w14:paraId="0D31B9E4">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rPr>
        <w:t>售后服务响应时间：如出现故障2小时内做出响应，对于用户的任何投诉和要求，在24小时内作出相应的答复。一般问题应在24小时内解决，重大问题或其它无法迅速解决的问题应在48小时内解决。特殊情况无法修复的，质保期内中标供应商应无条件更换新设备或提供代用设备，或采取使设备可正常运转的措施。</w:t>
      </w:r>
    </w:p>
    <w:p w14:paraId="62FEEBA7">
      <w:pPr>
        <w:shd w:val="clear" w:color="auto" w:fill="FFFFFF"/>
        <w:spacing w:line="520" w:lineRule="exact"/>
        <w:ind w:firstLine="360" w:firstLineChars="150"/>
        <w:rPr>
          <w:rFonts w:ascii="宋体" w:hAnsi="宋体" w:cs="宋体"/>
          <w:sz w:val="24"/>
          <w:szCs w:val="24"/>
          <w:highlight w:val="none"/>
        </w:rPr>
      </w:pPr>
      <w:r>
        <w:rPr>
          <w:rFonts w:hint="eastAsia" w:ascii="宋体" w:hAnsi="宋体" w:cs="宋体"/>
          <w:sz w:val="24"/>
          <w:szCs w:val="24"/>
          <w:highlight w:val="none"/>
          <w:lang w:val="en-US" w:eastAsia="zh-CN"/>
        </w:rPr>
        <w:t>9、</w:t>
      </w:r>
      <w:r>
        <w:rPr>
          <w:rFonts w:hint="eastAsia" w:ascii="宋体" w:hAnsi="宋体" w:cs="宋体"/>
          <w:sz w:val="24"/>
          <w:szCs w:val="24"/>
          <w:highlight w:val="none"/>
        </w:rPr>
        <w:t>验收</w:t>
      </w:r>
    </w:p>
    <w:p w14:paraId="55A27DDA">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cs="宋体"/>
          <w:sz w:val="24"/>
          <w:szCs w:val="24"/>
          <w:highlight w:val="none"/>
        </w:rPr>
        <w:t>采购人和相关部门按照国家规定标准验收，没有国家标准的按行业标准验收，无行业标准的按地方或企业标准验收，中标人予以配合。</w:t>
      </w:r>
    </w:p>
    <w:p w14:paraId="3F5E8E2A">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rPr>
        <w:t>货物在验收时，投标人应提供发票、制造厂家出具的产品合格证书、装箱清单等。</w:t>
      </w:r>
    </w:p>
    <w:p w14:paraId="1FC15C82">
      <w:pPr>
        <w:shd w:val="clear" w:color="auto" w:fill="FFFFFF"/>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付款方式：</w:t>
      </w:r>
      <w:r>
        <w:rPr>
          <w:rFonts w:hint="eastAsia" w:ascii="宋体" w:hAnsi="宋体" w:cs="宋体"/>
          <w:sz w:val="24"/>
          <w:szCs w:val="24"/>
          <w:highlight w:val="none"/>
          <w:lang w:eastAsia="zh-CN"/>
        </w:rPr>
        <w:t>按季度结算货款，具体</w:t>
      </w:r>
      <w:r>
        <w:rPr>
          <w:rFonts w:hint="eastAsia" w:ascii="宋体" w:hAnsi="宋体" w:cs="宋体"/>
          <w:sz w:val="24"/>
          <w:szCs w:val="24"/>
          <w:highlight w:val="none"/>
        </w:rPr>
        <w:t>以签订供货合同为准。</w:t>
      </w:r>
    </w:p>
    <w:p w14:paraId="511DA0A0">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二、采购内容及要求</w:t>
      </w:r>
    </w:p>
    <w:tbl>
      <w:tblPr>
        <w:tblStyle w:val="20"/>
        <w:tblpPr w:leftFromText="180" w:rightFromText="180" w:vertAnchor="text" w:horzAnchor="page" w:tblpX="389" w:tblpY="923"/>
        <w:tblOverlap w:val="never"/>
        <w:tblW w:w="113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5"/>
        <w:gridCol w:w="660"/>
        <w:gridCol w:w="6285"/>
        <w:gridCol w:w="1080"/>
        <w:gridCol w:w="480"/>
        <w:gridCol w:w="825"/>
        <w:gridCol w:w="585"/>
        <w:gridCol w:w="978"/>
      </w:tblGrid>
      <w:tr w14:paraId="0B29A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FB1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262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名称</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2A45">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参数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69D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规格</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031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345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最高限价/元</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87E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数量</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FF6F">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合计/元</w:t>
            </w:r>
          </w:p>
        </w:tc>
      </w:tr>
      <w:tr w14:paraId="40695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5AF6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57343">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行政办公桌</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3C9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 xml:space="preserve">1.用材：采用E1级三聚氢氨饰面刨花板。甲醛释放量（1m³气候箱法）≤0.124mg/m³（GB18580-2017），经过防潮、防虫、防腐的化学处理，强度高，刚性好，不变形不开裂。                                                                                                              2.板材厚度：桌面厚度≥25mm,其他部分厚度≥16mm。                                                                                                                                  3.桌架：采用优质钢材厚度为2.0mm以上，60*60mm三角管口字型腿，表面选用符合环境安全环氧树脂粉体静电喷涂处理，装有可调底脚。                                                         4.五金配件：采用优质配件，符合相应现行国家标准要求，镀锌滚珠全拉出式三节滑轨。所有五金配件全部经过防锈、防腐处理。                                                               5.封边：采用优质环保PVC塑胶封边，厚度2.5mm。                                                                                                                                     6.颜色：根据整体环境设计。桌面为木纹色（以最终确定色板为准），下部为白色或深灰色，符合人体工程学设计，实用性强，时尚雅致，环保舒适。                                             7.结构：配置键盘抽、抽柜和主机架，台面配一个铝合金翻转毛刷线盒。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2133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1400*600*750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7A95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张</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21D2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1020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B0D3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90D2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20400</w:t>
            </w:r>
          </w:p>
        </w:tc>
      </w:tr>
      <w:tr w14:paraId="283C7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E93E2">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87E5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看诊桌</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D1F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1.用材：采用E1级三聚氢氨饰面刨花板。甲醛释放量（1m³气候箱法）≤0.124mg/m³（GB18580-2017），经过防潮、防虫、防腐的化学处理，强度高，刚性好，不变形不开裂。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2.板材厚度：桌面厚度≥25mm,其他部分厚度≥16mm.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3.桌架：采用优质钢材厚度为2.0mm以上，60*60mm三角管门字型腿，表面选用符合环境安全环氧树脂粉体静电喷涂处理，装有可调底脚。</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4.五金配件：采用优质配件，符合相应现行国家标准要求，镀锌滚珠全拉出式三节滑轨。所有五金配件全部经过防锈、防腐处理。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5.封边：采用优质环保PVC塑胶封边，厚度2.5mm。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6.颜色：根据整体环境设计。桌面为木纹色（以最终确定色板为准），下部为白色或深灰色，符合人体工程学设计，实用性强，时尚雅致，环保舒适。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7.结构：配置键盘抽（每个抽屉带单独锁）、可活动副柜（带滑轮），台面配一个铝合金翻转毛刷线盒。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22B7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1400*600*750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CA05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张</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18B95">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1240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F957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4104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24800</w:t>
            </w:r>
          </w:p>
        </w:tc>
      </w:tr>
      <w:tr w14:paraId="23E8D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36A3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BB03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办公桌</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D6F2">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1.用材：采用E1级三聚氢氨饰面刨花板。甲醛释放量（1m³气候箱法）≤0.124mg/m³（GB18580-2017），经过防潮、防虫、防腐的化学处理，强度高，刚性好，不变形不开裂。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2.板材厚度：桌面厚度≥25mm,其他部分厚度≥16mm。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3.桌架：采用优质钢材厚度为2.0mm以上，60*60mm三角管门字型腿，表面选用符合环境安全环氧树脂粉体静电喷涂处理，装有可调底脚。</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4.五金配件：采用优质配件，符合相应现行国家标准要求，镀锌滚珠全拉出式三节滑轨。所有五金配件全部经过防锈、防腐处理。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5.封边：采用优质环保PVC塑胶封边，厚度2.5mm。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6.颜色：根据整体环境设计。桌面为木纹色（以最终确定色板为准），下部为白色或深灰色，符合人体工程学设计，实用性强，时尚雅致，环保舒适。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7.结构：配置键盘抽、置物柜，台面配一个铝合金翻转毛刷线盒。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6E55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1200*600*750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0C7B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张</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082B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1100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149E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1461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22000</w:t>
            </w:r>
          </w:p>
        </w:tc>
      </w:tr>
      <w:tr w14:paraId="726DE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2F01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4</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3DFD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主任办公桌</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6DA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1.用材：采用E1级三聚氢氨饰面刨花板。甲醛释放量（1m³气候箱法）≤0.124mg/m³（GB18580-2017），经过防潮、防虫、防腐的化学处理，强度高，刚性好，不变形不开裂。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2.板材厚度：桌面厚度≥25mm,其他部分厚度≥16mm.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3.桌架：采用优质钢材厚度为2.0mm以上，60*60mm三角管口字型腿，表面选用符合环境安全环氧树脂粉体静电喷涂处理，装有可调底脚。</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4.五金配件：采用优质配件，符合相应现行国家标准要求，镀锌滚珠全拉出式三节滑轨。所有五金配件全部经过防锈、防腐处理。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5.封边：采用优质环保PVC塑胶封边，厚度2.5mm。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6.颜色：根据整体环境设计。桌面为木纹色（以最终确定色板为准），下部为白色或深灰色，符合人体工程学设计，实用性强，时尚雅致，环保舒适。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7.结构：配置键盘抽、长副柜（带滑轮），台面配一个铝合金翻转毛刷线盒。</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D7E1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1400*750*750   1200*450*660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8F71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0580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1650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55F0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09A5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8250</w:t>
            </w:r>
          </w:p>
        </w:tc>
      </w:tr>
      <w:tr w14:paraId="1D43E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DA6B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FEC0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收费桌</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355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1.用材：采用E1级三聚氢氨饰面刨花板。甲醛释放量（1m³气候箱法）≤0.124mg/m³（GB18580-2017），经过防潮、防虫、防腐的化学处理，强度高，刚性好，不变形不开裂。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2.板材厚度：桌面厚度≥25mm,其他部分厚度≥16mm.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3.桌架：采用优质钢材厚度为2.0mm以上，60*60mm三角管门字型腿，表面选用符合环境安全环氧树脂粉体静电喷涂处理，装有可调底脚。</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4.五金配件：采用优质配件，符合相应现行国家标准要求，镀锌滚珠全拉出式三节滑轨。所有五金配件全部经过防锈、防腐处理。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5.封边：采用优质环保PVC塑胶封边，厚度2.5mm。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6.颜色：根据整体环境设计。桌面为木纹色（以最终确定色板为准），下部为白色或深灰色，符合人体工程学设计，实用性强，时尚雅致，环保舒适。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7.结构：配置键盘抽、置物柜，台面配一个铝合金翻转毛刷线盒。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CD9D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1400*600*750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5BA0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张</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B4F7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980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19FB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4F94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9800</w:t>
            </w:r>
          </w:p>
        </w:tc>
      </w:tr>
      <w:tr w14:paraId="7DE23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A8B2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6</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0F7D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中医看诊桌</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04C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1.主材：纯水曲柳实木。含水率在10%以内，符合所在地区要求；辅材：优质环保E1级中密度纤维板，面贴AAA级厚度为≥0.6mm胡桃木皮。</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基材：台面四周基层板材选用优质E2级环保全桉木指接板收边，台面内部采用通过GB/T11718-2009技术标准的优质环保中密度纤维板及GB/T15102-2017检验标准，游离甲醛释放量符合E1级环保标准，密度达650kg/m3以上；甲醛释放量≤1.5mg/L（GB18580-2001），经过防潮、防虫、防腐的化学处理，强度高，刚性好，不变形不开裂。经过防蛀、防腐处理，经过防潮、防虫、防腐的化学处理，强度高，刚性好，不变形不开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3.油漆：木质家具表面油漆采用著名品牌木器专用漆，达到国家A级标准，在恒温、恒湿高度防尘的面漆房喷涂面漆，经过最先进饱和漆工艺精心处理，从而保证台面平整无颗粒、气泡、渣点，颜色均匀；家具底漆采用环保聚酯漆，5遍面漆，3遍底漆，其性能达到耐火、耐污、耐酸、耐磨经全自动滚漆干燥机加工，色泽均匀一致，不出现退色、返白现象，耐污、耐酸、耐磨；产品表面平坦光滑，平整度达到≤2mm，漆面饱满、无划伤、开裂和变形，无明显色差、无磕碰、无划痕、无气孔、无斑点、无裂痕，达到国标环保要求。                                                                                                                                               </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4.工艺：所有异型实木加工工艺成品外表与封边的倒棱圆角，边缘平整，光滑，弧线均匀一致，无加工刀痕，采用中国传统千年榫卯倒刺粘粘结构，质量兼优。</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5.实木镂空侧扇采用30mm*30mm抗腐水曲柳木材。</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224C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1530*700*750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11BF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AC245">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4</w:t>
            </w:r>
            <w:r>
              <w:rPr>
                <w:rFonts w:hint="eastAsia" w:ascii="宋体" w:hAnsi="宋体" w:cs="宋体"/>
                <w:b/>
                <w:bCs/>
                <w:sz w:val="24"/>
                <w:szCs w:val="24"/>
                <w:highlight w:val="none"/>
                <w:vertAlign w:val="baseline"/>
                <w:lang w:val="en-US" w:eastAsia="zh-CN"/>
              </w:rPr>
              <w:t>0</w:t>
            </w:r>
            <w:r>
              <w:rPr>
                <w:rFonts w:hint="eastAsia" w:ascii="宋体" w:hAnsi="宋体" w:eastAsia="宋体" w:cs="宋体"/>
                <w:b/>
                <w:bCs/>
                <w:sz w:val="24"/>
                <w:szCs w:val="24"/>
                <w:highlight w:val="none"/>
                <w:vertAlign w:val="baseline"/>
                <w:lang w:val="en-US" w:eastAsia="zh-CN"/>
              </w:rPr>
              <w:t>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18812">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EE12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20000</w:t>
            </w:r>
          </w:p>
        </w:tc>
      </w:tr>
      <w:tr w14:paraId="6DC7D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A85F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7</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1B5FF">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中医医师桌</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926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1.主材：纯水曲柳实木。含水率在10%以内，符合所在地区要求；辅材：优质环保E1级中密度纤维板，面贴AAA级厚度为≥0.6mm胡桃木皮。</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基材：台面四周基层板材选用优质E2级环保全桉木指接板收边，台面内部采用通过GB/T11718-2009技术标准的优质环保中密度纤维板及GB/T15102-2017检验标准，游离甲醛释放量符合E1级环保标准，密度达650kg/m3以上；甲醛释放量≤1.5mg/L（GB18580-2001），经过防潮、防虫、防腐的化学处理，强度高，刚性好，不变形不开裂。经过防蛀、防腐处理，经过防潮、防虫、防腐的化学处理，强度高，刚性好，不变形不开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3.油漆：木质家具表面油漆采用著名品牌木器专用漆，达到国家A级标准，在恒温、恒湿高度防尘的面漆房喷涂面漆，经过最先进饱和漆工艺精心处理，从而保证台面平整无颗粒、气泡、渣点，颜色均匀；家具底漆采用环保聚酯漆，5遍面漆，3遍底漆，其性能达到耐火、耐污、耐酸、耐磨经全自动滚漆干燥机加工，色泽均匀一致，不出现退色、返白现象，耐污、耐酸、耐磨；产品表面平坦光滑，平整度达到≤2mm，漆面饱满、无划伤、开裂和变形，无明显色差、无磕碰、无划痕、无气孔、无斑点、无裂痕，达到国标环保要求。                                                                                                                                               </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4.工艺：所有异型实木加工工艺成品外表与封边的倒棱圆角，边缘平整，光滑，弧线均匀一致，无加工刀痕，采用中国传统千年榫卯倒刺粘粘结构，质量兼优。</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5.实木镂空侧扇采用30mm*30mm抗腐水曲柳木材。</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E06E3">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1230*600*750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71992">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3DA5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w:t>
            </w:r>
            <w:r>
              <w:rPr>
                <w:rFonts w:hint="eastAsia" w:ascii="宋体" w:hAnsi="宋体" w:cs="宋体"/>
                <w:b/>
                <w:bCs/>
                <w:sz w:val="24"/>
                <w:szCs w:val="24"/>
                <w:highlight w:val="none"/>
                <w:vertAlign w:val="baseline"/>
                <w:lang w:val="en-US" w:eastAsia="zh-CN"/>
              </w:rPr>
              <w:t>0</w:t>
            </w:r>
            <w:r>
              <w:rPr>
                <w:rFonts w:hint="eastAsia" w:ascii="宋体" w:hAnsi="宋体" w:eastAsia="宋体" w:cs="宋体"/>
                <w:b/>
                <w:bCs/>
                <w:sz w:val="24"/>
                <w:szCs w:val="24"/>
                <w:highlight w:val="none"/>
                <w:vertAlign w:val="baseline"/>
                <w:lang w:val="en-US" w:eastAsia="zh-CN"/>
              </w:rPr>
              <w:t>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0583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4</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46C8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8</w:t>
            </w:r>
            <w:r>
              <w:rPr>
                <w:rFonts w:hint="eastAsia" w:ascii="宋体" w:hAnsi="宋体" w:eastAsia="宋体" w:cs="宋体"/>
                <w:b/>
                <w:bCs/>
                <w:sz w:val="24"/>
                <w:szCs w:val="24"/>
                <w:highlight w:val="none"/>
                <w:vertAlign w:val="baseline"/>
                <w:lang w:val="en-US" w:eastAsia="zh-CN"/>
              </w:rPr>
              <w:t>000</w:t>
            </w:r>
          </w:p>
        </w:tc>
      </w:tr>
      <w:tr w14:paraId="63272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47C8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8</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C938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医生办公椅</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511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1.面料：座面、椅背采用优质韩皮饰面；</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2.海绵：采用50#密度一体成型棉，30万次冲压耐久测试不变形，符合国家现行标准。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3.椅架：2.0MM厚电镀光亮方铁管。 </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4.座板：15mm-20mm密度≥600KG/m3经高温蒸煮、层压、干燥，不虫蛀、变形、霉变。</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5.产品质量符合国家QB/T 2280-2016办公椅标准。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6.各部件安全、环保及各项理化要求必须符合国家现行相关标准。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69192">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常规</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2A43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把</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B88E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220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63A1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0268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6600</w:t>
            </w:r>
          </w:p>
        </w:tc>
      </w:tr>
      <w:tr w14:paraId="2920B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F5DE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9</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B1DC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主任椅</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BAA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1.面料：优质韩皮。</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2.海棉：采用50#密度一体成型棉，30万次冲压耐久测试不变形，符合国家现行标准。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3.曲木板：座垫为多层实木板热压成型，甲醛释量符合E1级国家标准GB 18580-2017；                                                                                                                   4.椅架：电镀弓形架+皮面扶手，高标准电镀带套管弓形架，管壁厚度：2.0mm。                                                                                                                                                                                                                                                                                                                                                                          5.产品质量符合国家QB/T 2280-2016办公椅标准。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6.各部件安全、环保及各项理化要求必须符合国家现行相关标准。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A5365">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常规</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A75E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把</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9F83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600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5840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40C5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3000</w:t>
            </w:r>
          </w:p>
        </w:tc>
      </w:tr>
      <w:tr w14:paraId="7C998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4996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F1F8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主任接待椅</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095F">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1.面料：靠背为专业办公防尘网饰面，坐垫为优质韩皮。</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2.海绵：采用50#密度一体成型棉，30万次冲压耐久测试不变形，符合国家现行标准。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3.靠背扶手：全新PP加纤背框，固定腰靠，皮面固定扶手。  </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4.座板：15mm-20mm密度≥600KG/m3经高温蒸煮、层压、干燥，不虫蛀、变形、霉变。</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5.椅架：Φ25mm钢管架,管壁2mm厚。</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6.产品质量符合国家QB/T 2280-2016办公椅标准。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7.各部件安全、环保及各项理化要求必须符合国家现行相关标准。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FA60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常规</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A7F62">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把</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A2BC7">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F34B2">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5851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1500</w:t>
            </w:r>
          </w:p>
        </w:tc>
      </w:tr>
      <w:tr w14:paraId="2A431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5"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F21B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11</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8356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收费转椅</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5C83">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1.面料：靠背为专业办公防尘网饰面，座包为优质韩皮饰面。</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2.海绵：50#密度一体成型棉，30万次冲压耐久测试不变形，符合国家现行标准。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3.靠背扶手：全新PP加纤背框，固定腰靠，PP加纤扶手。</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4.座板：15mm-20mm密度≥600KG/m3经高温蒸煮、层压、干燥，不虫蛀、变形、霉变。</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5.单功能底盘。耐久性测试30万次，机构运动无干涉无噪音。</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6.100#沉口50mm黑色汽杆。可承受300kg压力，升降轻便灵活，螺旋机构的升降配合良好，气动升降平稳、无漏气、无燥音，升降30万次无故障。</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7.∮340尼龙五星脚架。</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8.φ50mm黑色尼龙轮。采用增强尼龙66%加34%纤维重型轮，在受压迫750磅下往复12万次不损坏，移动杂音小，耐磨性大。</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9.产品质量符合国家QB/T 2280-2016办公椅标准。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10.各部件安全、环保及各项理化要求必须符合国家现行相关标准。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62E5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常规</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C78A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把</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B2E2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360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81A6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9F42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3600</w:t>
            </w:r>
          </w:p>
        </w:tc>
      </w:tr>
      <w:tr w14:paraId="4AC0C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9219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3581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员工办公椅</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FD6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1.面料：靠背为专业办公防尘网饰面，座包为优质韩皮饰面。</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2.海绵：50#密度一体成型棉，30万次冲压耐久测试不变形，符合国家现行标准。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3.靠背扶手：全新PP加纤背框，固定腰靠，PP加纤扶手。</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4.座板：15mm-20mm密度≥600KG/m3经高温蒸煮、层压、干燥，不虫蛀、变形、霉变。</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5.椅架：Φ25mm钢管架,管壁2mm厚。</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6.产品质量符合国家QB/T 2280-2016办公椅标准。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7.各部件安全、环保及各项理化要求必须符合国家现行相关标准。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1D3D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常规</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AAC5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把</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EF44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290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CF47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8E6C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8700</w:t>
            </w:r>
          </w:p>
        </w:tc>
      </w:tr>
      <w:tr w14:paraId="0D850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BE0A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13</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232B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圆转椅</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7B65">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1.PU皮质坐面；</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2.经过SGS认证升降气杆，可升降金属配件，安全舒适；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3.优质滑轮，韧性强，牢固性好，移动杂音小，耐磨性大。</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4.各部件安全、环保及各项理化要求必须符合国家现行相关标准。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0B15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φ340*180~630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3FE5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把</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0FDB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180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BD07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1498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5400</w:t>
            </w:r>
          </w:p>
        </w:tc>
      </w:tr>
      <w:tr w14:paraId="777F7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EDE1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14</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5B84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中医医师椅</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647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1.实木框架采用多年生水曲柳实木，榫卯链接，含水率在10%以内，符合所在地区要求。                                                                                                                                                    2.座板选用优质E2级环保全桉木多层板，经过防蛀、防腐处理；含水率在10%以内，符合所在地区要求。                                                                                                                                3.木质家具表面油漆采用著名品牌木器专用漆，达到国家A级标准，在恒温、恒湿高度防尘的面漆房喷涂面漆，经过最先进饱和漆工艺精心处理，从而保证台面平整无颗粒、气泡、渣点，颜色均匀；家具底漆采用环保聚酯漆，5遍面漆，3遍底漆，其性能达到耐火、耐污、耐酸、耐磨经全自动滚漆干燥机加工，色泽均匀一致，不出现退色、返白现象，耐污、耐酸、耐磨；产品表面平坦光滑，平整度达到≤2mm，漆面饱满、无划伤、开裂和变形，无明显色差、无磕碰、无划痕、无气孔、无斑点、无裂痕，达到国标环保要求。                                                                                                                                                                 4.工艺：所有异型实木加工工艺成品外表与封边的倒棱圆角，边缘平整，光滑，弧线均匀一致，无加工刀痕，采用中国传统千年榫卯倒刺粘粘结构，质量兼优。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ACBC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常规</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F877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5B9A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1050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06B8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E8E67">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5250</w:t>
            </w:r>
          </w:p>
        </w:tc>
      </w:tr>
      <w:tr w14:paraId="49E03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E45E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15</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EA4B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太师椅</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889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1.实木框架采用多年生水曲柳实木，榫卯链接，含水率在10%以内，符合所在地区要求。                                                                                                                                                    2.座板选用优质E2级环保全桉木多层板，经过防蛀、防腐处理；含水率在10%以内，符合所在地区要求；                                                                                                                                  3.木质家具表面油漆采用著名品牌木器专用漆，达到国家A级标准，在恒温、恒湿高度防尘的面漆房喷涂面漆，经过最先进饱和漆工艺精心处理，从而保证台面平整无颗粒、气泡、渣点，颜色均匀；家具底漆采用环保聚酯漆，5遍面漆，3遍底漆，其性能达到耐火、耐污、耐酸、耐磨经全自动滚漆干燥机加工，色泽均匀一致，不出现退色、返白现象，耐污、耐酸、耐磨；产品表面平坦光滑，平整度达到≤2mm，漆面饱满、无划伤、开裂和变形，无明显色差、无磕碰、无划痕、无气孔、无斑点、无裂痕，达到国标环保要求。                                                                                                                                                                 4.工艺：所有异型实木加工工艺成品外表与封边的倒棱圆角，边缘平整，光滑，弧线均匀一致，无加工刀痕，采用中国传统千年榫卯倒刺粘粘结构，质量兼优。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432B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常规</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9343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44B4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w:t>
            </w:r>
            <w:r>
              <w:rPr>
                <w:rFonts w:hint="eastAsia" w:ascii="宋体" w:hAnsi="宋体" w:cs="宋体"/>
                <w:b/>
                <w:bCs/>
                <w:sz w:val="24"/>
                <w:szCs w:val="24"/>
                <w:highlight w:val="none"/>
                <w:vertAlign w:val="baseline"/>
                <w:lang w:val="en-US" w:eastAsia="zh-CN"/>
              </w:rPr>
              <w:t>150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33D5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9AED5">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5750</w:t>
            </w:r>
          </w:p>
        </w:tc>
      </w:tr>
      <w:tr w14:paraId="4F1C2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7389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0312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主任文件柜</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4C7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1.用材：采用E1级三聚氢氨饰面刨花板。甲醛释放量（1m³气候箱法）≤0.124mg/m³（GB18580-2017），经过防潮、防虫、防腐的化学处理，强度高，刚性好，不变形不开裂。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2.板材厚度：顶底板厚度≥25mm,其他部分厚度≥16mm.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3.五金配件：采用优质配件，符合相应现行国家标准要求。所有五金配件全部经过防锈、防腐处理。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4.封边：采用优质环保PVC塑胶封边，厚度2.5mm。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5.颜色：根据整体环境设计。桌面为木纹色（以最终确定色板为准），符合人体工程学设计，实用性强，时尚雅致，环保舒适。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6.底脚：防水可调。</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7.内部结构：内置四层搁板五格储物，含挂衣区，金属挂衣杆，置鞋区，含穿衣镜。                                                                                                       8.玻璃：厚度6mm，钢化处理。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16E8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1600*400*1800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7095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98B1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2200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85E0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E456F">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11000</w:t>
            </w:r>
          </w:p>
        </w:tc>
      </w:tr>
      <w:tr w14:paraId="3F816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CE1A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17</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D49BF">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档案柜</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99F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1.主材：纯水曲柳实木。含水率在10%以内，符合所在地区要求；辅材：优质环保E1级中密度纤维板，面贴AAA级厚度为≥0.6mm胡桃木皮。</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基材：台面四周基层板材选用优质E2级环保全桉木指接板收边，台面内部采用通过GB/T11718-2009技术标准的优质环保中密度纤维板及GB/T15102-2017检验标准，游离甲醛释放量符合E1级环保标准，密度达650kg/m3以上；甲醛释放量≤1.5mg/L（GB18580-2001），经过防潮、防虫、防腐的化学处理，强度高，刚性好，不变形不开裂。经过防蛀、防腐处理，经过防潮、防虫、防腐的化学处理，强度高，刚性好，不变形不开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3.油漆：木质家具表面油漆采用著名品牌木器专用漆，达到国家A级标准，在恒温、恒湿高度防尘的面漆房喷涂面漆，经过最先进饱和漆工艺精心处理，从而保证台面平整无颗粒、气泡、渣点，颜色均匀；家具底漆采用环保聚酯漆，5遍面漆，3遍底漆，其性能达到耐火、耐污、耐酸、耐磨经全自动滚漆干燥机加工，色泽均匀一致，不出现退色、返白现象，耐污、耐酸、耐磨；产品表面平坦光滑，平整度达到≤2mm，漆面饱满、无划伤、开裂和变形，无明显色差、无磕碰、无划痕、无气孔、无斑点、无裂痕，达到国标环保要求。                                                                                                                                               </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4.工艺：所有异型实木加工工艺成品外表与封边的倒棱圆角，边缘平整，光滑，弧线均匀一致，无加工刀痕，采用中国传统千年榫卯倒刺粘粘结构，质量兼优。</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5.配件：采用符合QB/T 2189-2013杯状暗铰链标准，符合QB/T 2454-2013抽屉导轨标准要求，镀锌滚珠三节滑轨；开合次数超过5万次。门铰开合测试30，000次后，关住力6.0N，门下沉量1mm，耐久性试验后关住力5.0N；所有五金配件全部经过防锈、防腐处理，具有安装快速，结构简单，连接牢固，开启快捷之特点；符合国标检测标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B079F">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850*390*1800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7D47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25D33">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1200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4ECE3">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AEB9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24000</w:t>
            </w:r>
          </w:p>
        </w:tc>
      </w:tr>
      <w:tr w14:paraId="52897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4A0F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18</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6DDF7">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诊室柜</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7EAF">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1.采用一级冷轧钢板通过GB/T13668-2003技术标准，厚度≥0.8mm一级冷轧钢板裸板。表面进行静电喷涂处理。涂装后产品符合GB/T3325-2017标准。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2.内部结构：所有搁板、背板及侧板三边折弯采用无缝焊接工艺。搁4层隔板五层储物，挂衣区含挂衣杆、置鞋区。 </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3.玻璃：钢化处理，厚度≥5mm.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4.铰链：采用优质铰链，符合国家现行标准。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5.锁具：采用优质锁具，符合国家现行标准。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6.拉手：采用符合技术标准专用拉手。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BC16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970*420*1850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8BA4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F327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890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CBBB3">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2E70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17800</w:t>
            </w:r>
          </w:p>
        </w:tc>
      </w:tr>
      <w:tr w14:paraId="3511D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890C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19</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7632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文件柜（上玻下实）</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9345">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1.采用一级冷轧钢板通过GB/T13668-2003技术标准，厚度≥0.8mm一级冷轧钢板裸板。表面进行静电喷涂处理。涂装后产品符合GB/T3325-2017标准。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2.内部结构：所有搁板、背板及侧板三边折弯采用无缝焊接工艺。搁4层隔板五层储物。</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3.玻璃：钢化处理，厚度≥5mm.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4.铰链：采用优质铰链，符合国家现行标准。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5.锁具：采用优质锁具，符合国家现行标准。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6.拉手：采用符合技术标准专用拉手。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0913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900*400*1850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BDDB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2045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800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4964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860F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16000</w:t>
            </w:r>
          </w:p>
        </w:tc>
      </w:tr>
      <w:tr w14:paraId="338DA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5807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A50E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文件柜（上实下实）</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B6C7">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1.采用一级冷轧钢板通过GB/T13668-2003技术标准，厚度≥0.8mm一级冷轧钢板裸板。表面进行静电喷涂处理。涂装后产品符合GB/T3325-2017标准。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2.内部结构：含隔板一层，所有搁板、背板及侧板三边折弯采用无缝焊接工艺。 </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3.铰链：采用优质铰链，符合国家现行标准。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4.锁具：采用优质锁具，符合国家现行标准。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5.拉手：采用符合技术标准专用拉手。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12B8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900*420*1850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DBB8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14C6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850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0A63F">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B4852">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17000</w:t>
            </w:r>
          </w:p>
        </w:tc>
      </w:tr>
      <w:tr w14:paraId="0A42C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13EF2">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21</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03A9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中医文件柜</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D07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1.主材：纯水曲柳实木。含水率在10%以内，符合所在地区要求；辅材：优质环保E1级中密度纤维板，面贴AAA级厚度为≥0.6mm胡桃木皮。</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基材：台面四周基层板材选用优质E2级环保全桉木指接板收边，台面内部采用通过GB/T11718-2009技术标准的优质环保中密度纤维板及GB/T15102-2017检验标准，游离甲醛释放量符合E1级环保标准，密度达650kg/m3以上；甲醛释放量≤1.5mg/L（GB18580-2001），经过防潮、防虫、防腐的化学处理，强度高，刚性好，不变形不开裂。经过防蛀、防腐处理，经过防潮、防虫、防腐的化学处理，强度高，刚性好，不变形不开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3.油漆：木质家具表面油漆采用著名品牌木器专用漆，达到国家A级标准，在恒温、恒湿高度防尘的面漆房喷涂面漆，经过最先进饱和漆工艺精心处理，从而保证台面平整无颗粒、气泡、渣点，颜色均匀；家具底漆采用环保聚酯漆，5遍面漆，3遍底漆，其性能达到耐火、耐污、耐酸、耐磨经全自动滚漆干燥机加工，色泽均匀一致，不出现退色、返白现象，耐污、耐酸、耐磨；产品表面平坦光滑，平整度达到≤2mm，漆面饱满、无划伤、开裂和变形，无明显色差、无磕碰、无划痕、无气孔、无斑点、无裂痕，达到国标环保要求。                                                                                                                                               </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4.工艺：所有异型实木加工工艺成品外表与封边的倒棱圆角，边缘平整，光滑，弧线均匀一致，无加工刀痕，采用中国传统千年榫卯倒刺粘粘结构，质量兼优。</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5.配件：采用符合QB/T 2189-2013杯状暗铰链标准，符合QB/T 2454-2013抽屉导轨标准要求，镀锌滚珠三节滑轨；开合次数超过5万次。门铰开合测试30，000次后，关住力6.0N，门下沉量1mm，耐久性试验后关住力5.0N；所有五金配件全部经过防锈、防腐处理，具有安装快速，结构简单，连接牢固，开启快捷之特点；符合国标检测标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B7C5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1350*400*1850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33A5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E853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4800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6B25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D829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w:t>
            </w:r>
            <w:r>
              <w:rPr>
                <w:rFonts w:hint="eastAsia" w:ascii="宋体" w:hAnsi="宋体" w:cs="宋体"/>
                <w:b/>
                <w:bCs/>
                <w:sz w:val="24"/>
                <w:szCs w:val="24"/>
                <w:highlight w:val="none"/>
                <w:vertAlign w:val="baseline"/>
                <w:lang w:val="en-US" w:eastAsia="zh-CN"/>
              </w:rPr>
              <w:t>4000</w:t>
            </w:r>
          </w:p>
        </w:tc>
      </w:tr>
      <w:tr w14:paraId="3C6B2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5CC7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22</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E6D05">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主任沙发</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2AB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 xml:space="preserve">1.面料：选用优质环保皮，皮面柔软而富有韧性，手感舒适。  </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2.内架：优质白桦、松木等实木，经过蒸压煮、烘干、杀菌、杀虫处理，含水率符合所在地区年平均木材平衡含水率，内置蛇形弹簧及弹力绷带。</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3.辅料：采用通过GB/T10802-2006技术标准的高回弹切割泡棉，开模注压定型，表面有一层保护面，可防氧化，防碎，经过HD测试永不变形。</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4.底脚：采用锌合金底脚，底部塑胶防水脚钉。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FEB75">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2130*770*780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A0602">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221B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1750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6CFC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0594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8750</w:t>
            </w:r>
          </w:p>
        </w:tc>
      </w:tr>
      <w:tr w14:paraId="2A1EF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399A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23</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6ACD5">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主任休息床</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683F">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1.用材：采用E1级三聚氢氨饰面刨花板。甲醛释放量（1m³气候箱法）≤0.124mg/m³（GB18580-2017），经过防潮、防虫、防腐的化学处理，强度高，刚性好，不变形不开裂。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2.板材厚度：桌面厚度≥25mm,其他部分厚度≥16mm.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3.五金配件：采用优质配件，符合相应现行国家标准要求，镀锌滚珠全拉出式三节滑轨。所有五金配件全部经过防锈、防腐处理。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4.封边：采用优质环保PVC塑胶封边，厚度2.5mm。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5.底脚：采用塑胶防水可调平衡底脚。</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6.不含床垫。</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7B877">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2000*900*1060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04DC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BE5D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980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B9A4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5030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4900</w:t>
            </w:r>
          </w:p>
        </w:tc>
      </w:tr>
      <w:tr w14:paraId="3D3EE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CC4EF">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24</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A3D73">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主任床头柜</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B85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1.用材：采用E1级三聚氢氨饰面刨花板。甲醛释放量（1m³气候箱法）≤0.124mg/m³（GB18580-2017），经过防潮、防虫、防腐的化学处理，强度高，刚性好，不变形不开裂。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2.板材厚度：桌面厚度≥25mm,其他部分厚度≥16mm.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3.五金配件：采用优质配件，符合相应现行国家标准要求，镀锌滚珠全拉出式三节滑轨。所有五金配件全部经过防锈、防腐处理。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4.封边：采用优质环保PVC塑胶封边，厚度2.5mm。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5.底脚：采用塑胶防水可调平衡底脚。</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A9FB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400*400*520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20DB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36502">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240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CBF87">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5B09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1200</w:t>
            </w:r>
          </w:p>
        </w:tc>
      </w:tr>
      <w:tr w14:paraId="69600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7763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25</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9076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12门换鞋柜</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E7E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1.采用优质冷轧钢板经剪切，冲压，折弯，焊接，装配而成板材厚度≥0.8mm。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2.焊接部分采用高标准熔接焊，表面平整光滑；</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3.柜面：柜面采用绿色环保型粉末静电喷塑，对人体及周围环境不产生危害，无毒、无副作用，使用时无异味。表面平整光滑，耐腐蚀，不易老化，永不褪色。</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4.隔板：厚度20mm,文件柜格板高度可调，坚固耐用，性能优良。</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5.柜体布局：上下分体，上下共12门，门板为铁皮门；内部设置一隔板。</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6.锁具：配备优质锁具，开启灵活，互开率极低。</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7.拉手：ABS塑料射出成型，坚固耐磨。                                                                                                                                                                                          8.粉体：表面选用符合环境安全环氧树脂粉体静电喷涂，通过GB/T 11253-2007技术标准的热固性树脂粉末涂料。</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9870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900*420*1800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4A96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63A2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1030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998E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F616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10300</w:t>
            </w:r>
          </w:p>
        </w:tc>
      </w:tr>
      <w:tr w14:paraId="2909C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1C3B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26</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A169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操作台吊柜</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8657">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1.用材：采用E1级三聚氢氨饰面刨花板。甲醛释放量（1m³气候箱法）≤0.124mg/m³（GB18580-2017），经过防潮、防虫、防腐的化学处理，强度高，刚性好，不变形不开裂。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2.板材厚度：桌面厚度≥25mm,其他部分厚度≥16mm.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3.五金配件：采用优质配件，符合相应现行国家标准要求，镀锌滚珠全拉出式三节滑轨。所有五金配件全部经过防锈、防腐处理。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4.封边：采用优质环保PVC塑胶封边，厚度2.5mm。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5.颜色：根据整体环境设计。桌面为木纹色（以最终确定色板为准），下部为白色或深灰色，符合人体工程学设计，实用性强，时尚雅致，环保舒适。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6.台面：采用优质1.2cm厚实心理化板，具有耐酸碱性，耐高温及抗菌等特性。</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7.配置：根据整体布局每间设置一个pp材料单水盆，水盆三面设置10MM厚亚克力防水围挡。肘开式水龙头。 </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8.内部结构：吊柜内置层板一块，裸露层板一块，地柜抽屉，对开门置物柜任意搭配组合。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5507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600*850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4393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延米</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597B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1180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8292F">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74E1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11800</w:t>
            </w:r>
          </w:p>
        </w:tc>
      </w:tr>
      <w:tr w14:paraId="12093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9C9CF">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27</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83DE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长茶几</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DD4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1.用材：采用E1级三聚氢氨饰面刨花板。甲醛释放量（1m³气候箱法）≤0.124mg/m³（GB18580-2017），经过防潮、防虫、防腐的化学处理，强度高，刚性好，不变形不开裂。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2.封边：采用优质环保PVC塑胶封边，厚度2.5mm。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3.脚架：采用优质钢材厚度为2.0mm以上，门字型腿，表面喷塑处理，底部安装塑胶防水底脚。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27557">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1200*600*450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750A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284E2">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450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C8E45">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286F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2250</w:t>
            </w:r>
          </w:p>
        </w:tc>
      </w:tr>
      <w:tr w14:paraId="07E7F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08FF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28</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C1E83">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茶水柜</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15C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1.用材：采用E1级三聚氢氨饰面刨花板。甲醛释放量（1m³气候箱法）≤0.124mg/m³（GB18580-2017），经过防潮、防虫、防腐的化学处理，强度高，刚性好，不变形不开裂。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2.板材厚度：桌面厚度≥25mm,其他部分厚度≥16mm.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3.五金配件：采用优质配件，符合相应现行国家标准要求，镀锌滚珠全拉出式三节滑轨。所有五金配件全部经过防锈、防腐处理。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4.封边：采用优质环保PVC塑胶封边，厚度2.5mm。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5.底脚：采用塑胶防水底脚。</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08377">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800*400*860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EDCEF">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1884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4252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37F27">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2550</w:t>
            </w:r>
          </w:p>
        </w:tc>
      </w:tr>
      <w:tr w14:paraId="0027D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CAA2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29</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9363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检查床</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5C4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1.海绵：采用优质的高回弹切割泡棉，软硬适中，不变形，50#密度，符合国家现行相关标准。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2.采用西皮包裹。</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3.脚架：采用60*60mm钢制脚架门字型腿,钢管壁厚≥2mm。                                                                                                                              4.表面喷塑处理，底部安装塑胶防水底脚。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FE40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1900*650*550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174B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张</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4F37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1100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8ACF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9E67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22000</w:t>
            </w:r>
          </w:p>
        </w:tc>
      </w:tr>
      <w:tr w14:paraId="3F8C9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DFB8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F2A2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架子床</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B29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1.架子床床腿：床腿40*40mm方形钢管，壁厚1.5mm，底部设有优质橡胶脚垫；床头为导弧安全防撞设计，符合安全设计。</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2.床框：采用25*50mm，壁厚2.0mm的优质钢管；</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3.床板：20mm优质实木多层板，清漆封边，表面光滑、干燥美观，负荷强度大于200公斤，甲醛释放量符合国标；</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4.床板横撑：5根20*20mm壁厚2.0mm国标方管；</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5.护栏：Φ19*2.0mm圆管焊接，护栏规格1000*240mm。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6.表面喷塑处理。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7.连接方式：床框与床头采用螺栓连接。</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8.蚊帐架：蚊帐杆用Φ14*2.0mm圆管焊接成型，横撑两端套塑料脚垫保护。</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9.爬梯有防滑处理。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8858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2000*900*1800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4431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16AC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680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9F12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71D25">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17000</w:t>
            </w:r>
          </w:p>
        </w:tc>
      </w:tr>
      <w:tr w14:paraId="78FF8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A246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31</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6FB65">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6门更衣柜</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E55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1.采用一级冷轧钢板通过GB/T13668-2003技术标准，厚度≥0.8mm一级冷轧钢板裸板。表面进行静电喷涂处理。涂装后产品符合GB/T3325-2017标准。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2.内部结构：含隔板一层，所有搁板、背板及侧板三边折弯采用无缝焊接工艺。 </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3.铰链：采用优质铰链，符合国家现行标准。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4.锁具：采用优质锁具，符合国家现行标准。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5.拉手：采用符合技术标准专用拉手。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D5937">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900*420*1850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E878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64823">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850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9BBBF">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20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9A657">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17000</w:t>
            </w:r>
          </w:p>
        </w:tc>
      </w:tr>
      <w:tr w14:paraId="7EEEC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6A785">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32</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2ECE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3门更衣柜</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3BE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1.采用一级冷轧钢板通过GB/T13668-2003技术标准，厚度≥0.8mm一级冷轧钢板裸板。表面进行静电喷涂处理。涂装后产品符合GB/T3325-2017标准。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2.内部结构：含隔板一层，所有搁板、背板及侧板三边折弯采用无缝焊接工艺。 </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3.铰链：采用优质铰链，符合国家现行标准。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4.锁具：采用优质锁具，符合国家现行标准。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5.拉手：采用符合技术标准专用拉手。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4223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900*500*1850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8476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C86F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850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5243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20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122D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w:t>
            </w:r>
            <w:r>
              <w:rPr>
                <w:rFonts w:hint="eastAsia" w:ascii="宋体" w:hAnsi="宋体" w:cs="宋体"/>
                <w:b/>
                <w:bCs/>
                <w:sz w:val="24"/>
                <w:szCs w:val="24"/>
                <w:highlight w:val="none"/>
                <w:vertAlign w:val="baseline"/>
                <w:lang w:val="en-US" w:eastAsia="zh-CN"/>
              </w:rPr>
              <w:t>7000</w:t>
            </w:r>
          </w:p>
        </w:tc>
      </w:tr>
      <w:tr w14:paraId="4B7BE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6175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33</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410A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更衣凳</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F93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1.海绵：采用优质的高回弹切割泡棉，软硬适中，不变形，50#密度，符合国家现行相关标准。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2.采用西皮包裹。</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3.脚架：采用25*25mm钢制脚架门字型腿,钢管壁厚≥2mm。                                                                                                                              4.表面喷塑处理，底部安装塑胶防水底脚。</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F8D8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900*400*450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87275">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276A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630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D716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D7ED5">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3150</w:t>
            </w:r>
          </w:p>
        </w:tc>
      </w:tr>
      <w:tr w14:paraId="5D256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A7B3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43703">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候诊椅</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87F7">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1.椅板采用1.5mm厚优质不锈钢，经数控冲孔、数控折弯工艺，表面拉丝处理。边条采用优质不锈钢，表面抛镜光。                                                                                                      2.横梁采用优质五角型钢梁，厚度达到2.0mm。                                                                                                                                                           3.连接件：采用5mm钢板经冲压后焊接而成；表面喷涂处理。                                                                                                                                     4.座靠背：专业磨具制造聚氨酯材料一次成型，坐感舒适，方便清洗和保养。                                                                                                                                   5.接触人体部位无突出的毛刺或刃口棱角，切边平整，不易造成划伤。尺寸精度高，易于安装。</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95E2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1650*555*780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2A4A3">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DB803">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1180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1E22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4F42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35400</w:t>
            </w:r>
          </w:p>
        </w:tc>
      </w:tr>
      <w:tr w14:paraId="73D2D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B26E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35</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10E7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小方凳</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2ED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1.方凳面板采用18mm三聚氰胺饰面板。</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2.封边：采用优质环保PVC塑胶封边，厚度2.5mm。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3.椅子腿采用25*25*2mm方管、横杆采用20*20*2mm方管，底部安装塑胶防水底脚。</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22A32">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常规</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6627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79D1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60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2CCEF">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70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C4027">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4200</w:t>
            </w:r>
          </w:p>
        </w:tc>
      </w:tr>
      <w:tr w14:paraId="2FB60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E1B8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36</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25FF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鼓凳</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073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1.实木框架采用多年生水曲柳实木，榫卯链接，含水率在10%以内，符合所在地区要求。                                                                                                                                                    2.座板选用优质E2级环保全桉木多层板，经过防蛀、防腐处理；含水率在10%以内，符合所在地区要求；                                                                                                                                  3.木质家具表面油漆采用著名品牌木器专用漆，达到国家A级标准，在恒温、恒湿高度防尘的面漆房喷涂面漆，经过最先进饱和漆工艺精心处理，从而保证台面平整无颗粒、气泡、渣点，颜色均匀；家具底漆采用环保聚酯漆，5遍面漆，3遍底漆，其性能达到耐火、耐污、耐酸、耐磨经全自动滚漆干燥机加工，色泽均匀一致，不出现退色、返白现象，耐污、耐酸、耐磨；产品表面平坦光滑，平整度达到≤2mm，漆面饱满、无划伤、开裂和变形，无明显色差、无磕碰、无划痕、无气孔、无斑点、无裂痕，达到国标环保要求。                                                                                                                                                                 4.工艺：所有异型实木加工工艺成品外表与封边的倒棱圆角，边缘平整，光滑，弧线均匀一致，无加工刀痕，采用中国传统千年榫卯倒刺粘粘结构，质量兼优。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48A5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常规</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4487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65BE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4</w:t>
            </w:r>
            <w:r>
              <w:rPr>
                <w:rFonts w:hint="eastAsia" w:ascii="宋体" w:hAnsi="宋体" w:cs="宋体"/>
                <w:b/>
                <w:bCs/>
                <w:sz w:val="24"/>
                <w:szCs w:val="24"/>
                <w:highlight w:val="none"/>
                <w:vertAlign w:val="baseline"/>
                <w:lang w:val="en-US" w:eastAsia="zh-CN"/>
              </w:rPr>
              <w:t>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9C017">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9C5D3">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2000</w:t>
            </w:r>
          </w:p>
        </w:tc>
      </w:tr>
      <w:tr w14:paraId="273C0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2D39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37</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F9A62">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轻型货架</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A27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1.基材：采用优质冷轧钢板，经过剪切、冲压、折弯、焊接、装配而成；所有钢件表面经脱脂、表刷、水洗、除锈、磷化、酸洗、烘烤高温固化处理，表面干净无杂、无毛刺、着色牢固。</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2.立柱：采用35*75*1.2mm矩型管专业磨具冲压成蝴蝶形状卡槽，与横梁形成无缝连接。</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3.横梁：采用40*60*1.2mm矩型管冲压焊接而成。</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4.层板：采用优质冷轧钢板0.6mm四边折弯工艺，层板下方增加加强筋。</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5.承载：最大承载可达300kg/层，结构简单，拆装方便，且可无限连接。</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6.隔板：以50mm为单位上下任意调节，坚固耐用，性能优良。</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7.组成：由立柱、横梁、四层隔板组成，外观精美，安全系数高。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CB6D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1200*600*1850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8BF5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8030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720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EF72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97B1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21600</w:t>
            </w:r>
          </w:p>
        </w:tc>
      </w:tr>
      <w:tr w14:paraId="7FCF6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0068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38</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89B33">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重型货架</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CE2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1.基材：采用优质冷轧钢板，经过剪切、冲压、折弯、焊接、装配而成；所有钢件表面经脱脂、表刷、水洗、除锈、磷化、酸洗、烘烤高温固化处理，表面干净无杂、无毛刺、着色牢固。</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2.立柱：采用40*80*1.5mm矩型管专业磨具冲压成蝴蝶形状卡槽，与横梁形成无缝连接。</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3.横梁：采用40*80*1.2mm矩型管冲压焊接而成。</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4.层板：采用优质冷轧钢板0.7mm四边折弯工艺，层板下方增加加强筋。</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5.承载：最大承载可达500kg/层，结构简单，拆装方便，且可无限连接。</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6.隔板：以50mm为单位上下任意调节，坚固耐用，性能优良。</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7.组成：由立柱、横梁、四层隔板组成，外观精美，安全系数高。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2C78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1200*600*1850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54843">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31107">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1450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D69C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D79C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7250</w:t>
            </w:r>
          </w:p>
        </w:tc>
      </w:tr>
      <w:tr w14:paraId="2D1D6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0E42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39</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D986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操作台底柜</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AA3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1.用材：采用E1级三聚氢氨饰面刨花板。甲醛释放量（1m³气候箱法）≤0.124mg/m³（GB18580-2017），经过防潮、防虫、防腐的化学处理，强度高，刚性好，不变形不开裂。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2.板材厚度：桌面厚度≥25mm,其他部分厚度≥16mm.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3.五金配件：采用优质配件，符合相应现行国家标准要求，镀锌滚珠全拉出式三节滑轨。所有五金配件全部经过防锈、防腐处理。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4.封边：采用优质环保PVC塑胶封边，厚度2.5mm。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5.颜色：根据整体环境设计。桌面为木纹色（以最终确定色板为准），下部为白色或深灰色，符合人体工程学设计，实用性强，时尚雅致，环保舒适。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6.台面：采用优质1.2cm厚实心理化板，具有耐酸碱性，耐高温及抗菌等特性。</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7.配置：根据整体布局每间设置一个pp材料单水盆，水盆三面设置10MM厚亚克力防水围挡。肘开式水龙头。 </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8.内部结构：吊柜内置层板一块，裸露层板一块，地柜抽屉，对开门置物柜任意搭配组合。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E833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300*1200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0E81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延米</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68F4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2800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7C92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CE8D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28000</w:t>
            </w:r>
          </w:p>
        </w:tc>
      </w:tr>
      <w:tr w14:paraId="7521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95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FC55B7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357C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fldChar w:fldCharType="begin"/>
            </w:r>
            <w:r>
              <w:rPr>
                <w:rFonts w:hint="eastAsia" w:ascii="宋体" w:hAnsi="宋体" w:eastAsia="宋体" w:cs="宋体"/>
                <w:b/>
                <w:bCs/>
                <w:sz w:val="24"/>
                <w:szCs w:val="24"/>
                <w:highlight w:val="none"/>
                <w:vertAlign w:val="baseline"/>
                <w:lang w:val="en-US" w:eastAsia="zh-CN"/>
              </w:rPr>
              <w:instrText xml:space="preserve"> = sum(F2:F40) \* MERGEFORMAT </w:instrText>
            </w:r>
            <w:r>
              <w:rPr>
                <w:rFonts w:hint="eastAsia" w:ascii="宋体" w:hAnsi="宋体" w:eastAsia="宋体" w:cs="宋体"/>
                <w:b/>
                <w:bCs/>
                <w:sz w:val="24"/>
                <w:szCs w:val="24"/>
                <w:highlight w:val="none"/>
                <w:vertAlign w:val="baseline"/>
                <w:lang w:val="en-US" w:eastAsia="zh-CN"/>
              </w:rPr>
              <w:fldChar w:fldCharType="separate"/>
            </w:r>
            <w:r>
              <w:rPr>
                <w:rFonts w:hint="eastAsia" w:ascii="宋体" w:hAnsi="宋体" w:eastAsia="宋体" w:cs="宋体"/>
                <w:b/>
                <w:bCs/>
                <w:sz w:val="24"/>
                <w:szCs w:val="24"/>
                <w:highlight w:val="none"/>
                <w:vertAlign w:val="baseline"/>
                <w:lang w:val="en-US" w:eastAsia="zh-CN"/>
              </w:rPr>
              <w:t>43740</w:t>
            </w:r>
            <w:r>
              <w:rPr>
                <w:rFonts w:hint="eastAsia" w:ascii="宋体" w:hAnsi="宋体" w:eastAsia="宋体" w:cs="宋体"/>
                <w:b/>
                <w:bCs/>
                <w:sz w:val="24"/>
                <w:szCs w:val="24"/>
                <w:highlight w:val="none"/>
                <w:vertAlign w:val="baseline"/>
                <w:lang w:val="en-US" w:eastAsia="zh-CN"/>
              </w:rPr>
              <w:fldChar w:fldCharType="end"/>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361C3">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fldChar w:fldCharType="begin"/>
            </w:r>
            <w:r>
              <w:rPr>
                <w:rFonts w:hint="eastAsia" w:ascii="宋体" w:hAnsi="宋体" w:eastAsia="宋体" w:cs="宋体"/>
                <w:b/>
                <w:bCs/>
                <w:sz w:val="24"/>
                <w:szCs w:val="24"/>
                <w:highlight w:val="none"/>
                <w:vertAlign w:val="baseline"/>
                <w:lang w:val="en-US" w:eastAsia="zh-CN"/>
              </w:rPr>
              <w:instrText xml:space="preserve"> = sum(G2:G40) \* MERGEFORMAT </w:instrText>
            </w:r>
            <w:r>
              <w:rPr>
                <w:rFonts w:hint="eastAsia" w:ascii="宋体" w:hAnsi="宋体" w:eastAsia="宋体" w:cs="宋体"/>
                <w:b/>
                <w:bCs/>
                <w:sz w:val="24"/>
                <w:szCs w:val="24"/>
                <w:highlight w:val="none"/>
                <w:vertAlign w:val="baseline"/>
                <w:lang w:val="en-US" w:eastAsia="zh-CN"/>
              </w:rPr>
              <w:fldChar w:fldCharType="separate"/>
            </w:r>
            <w:r>
              <w:rPr>
                <w:rFonts w:hint="eastAsia" w:ascii="宋体" w:hAnsi="宋体" w:eastAsia="宋体" w:cs="宋体"/>
                <w:b/>
                <w:bCs/>
                <w:sz w:val="24"/>
                <w:szCs w:val="24"/>
                <w:highlight w:val="none"/>
                <w:vertAlign w:val="baseline"/>
                <w:lang w:val="en-US" w:eastAsia="zh-CN"/>
              </w:rPr>
              <w:t>5</w:t>
            </w:r>
            <w:r>
              <w:rPr>
                <w:rFonts w:hint="eastAsia" w:ascii="宋体" w:hAnsi="宋体" w:cs="宋体"/>
                <w:b/>
                <w:bCs/>
                <w:sz w:val="24"/>
                <w:szCs w:val="24"/>
                <w:highlight w:val="none"/>
                <w:vertAlign w:val="baseline"/>
                <w:lang w:val="en-US" w:eastAsia="zh-CN"/>
              </w:rPr>
              <w:t>7</w:t>
            </w:r>
            <w:r>
              <w:rPr>
                <w:rFonts w:hint="eastAsia" w:ascii="宋体" w:hAnsi="宋体" w:eastAsia="宋体" w:cs="宋体"/>
                <w:b/>
                <w:bCs/>
                <w:sz w:val="24"/>
                <w:szCs w:val="24"/>
                <w:highlight w:val="none"/>
                <w:vertAlign w:val="baseline"/>
                <w:lang w:val="en-US" w:eastAsia="zh-CN"/>
              </w:rPr>
              <w:fldChar w:fldCharType="end"/>
            </w:r>
            <w:r>
              <w:rPr>
                <w:rFonts w:hint="eastAsia" w:ascii="宋体" w:hAnsi="宋体" w:cs="宋体"/>
                <w:b/>
                <w:bCs/>
                <w:sz w:val="24"/>
                <w:szCs w:val="24"/>
                <w:highlight w:val="none"/>
                <w:vertAlign w:val="baseline"/>
                <w:lang w:val="en-US" w:eastAsia="zh-CN"/>
              </w:rPr>
              <w:t>9</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B4B1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479200</w:t>
            </w:r>
          </w:p>
        </w:tc>
      </w:tr>
    </w:tbl>
    <w:p w14:paraId="37251A54">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宋体" w:hAnsi="宋体" w:eastAsia="宋体" w:cs="宋体"/>
          <w:b/>
          <w:bCs/>
          <w:color w:val="FF0000"/>
          <w:sz w:val="24"/>
          <w:szCs w:val="24"/>
          <w:highlight w:val="none"/>
          <w:lang w:val="en-US" w:eastAsia="zh-CN"/>
        </w:rPr>
      </w:pPr>
      <w:r>
        <w:rPr>
          <w:rFonts w:hint="eastAsia" w:ascii="宋体" w:hAnsi="宋体" w:eastAsia="宋体" w:cs="宋体"/>
          <w:b/>
          <w:bCs/>
          <w:color w:val="FF0000"/>
          <w:sz w:val="24"/>
          <w:szCs w:val="24"/>
          <w:highlight w:val="none"/>
          <w:lang w:val="en-US" w:eastAsia="zh-CN"/>
        </w:rPr>
        <w:t>备注：本项目投标分项报价不得超过单项产品最高限价，否则按废标处理。</w:t>
      </w:r>
    </w:p>
    <w:p w14:paraId="672199BA">
      <w:pPr>
        <w:keepNext w:val="0"/>
        <w:keepLines w:val="0"/>
        <w:pageBreakBefore w:val="0"/>
        <w:kinsoku/>
        <w:wordWrap/>
        <w:overflowPunct/>
        <w:topLinePunct w:val="0"/>
        <w:bidi w:val="0"/>
        <w:spacing w:line="360" w:lineRule="auto"/>
        <w:ind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14:paraId="3679E874">
      <w:pPr>
        <w:pStyle w:val="11"/>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eastAsia="宋体" w:cs="宋体"/>
          <w:b w:val="0"/>
          <w:bCs/>
          <w:sz w:val="24"/>
          <w:szCs w:val="32"/>
          <w:highlight w:val="none"/>
          <w:u w:val="none"/>
        </w:rPr>
      </w:pPr>
      <w:r>
        <w:rPr>
          <w:rFonts w:hint="eastAsia" w:ascii="宋体" w:hAnsi="宋体" w:cs="宋体"/>
          <w:b w:val="0"/>
          <w:bCs/>
          <w:sz w:val="24"/>
          <w:szCs w:val="32"/>
          <w:highlight w:val="none"/>
          <w:u w:val="none"/>
          <w:lang w:val="en-US" w:eastAsia="zh-CN"/>
        </w:rPr>
        <w:t>1、</w:t>
      </w:r>
      <w:r>
        <w:rPr>
          <w:rFonts w:hint="eastAsia" w:ascii="宋体" w:hAnsi="宋体" w:eastAsia="宋体" w:cs="宋体"/>
          <w:b w:val="0"/>
          <w:bCs/>
          <w:sz w:val="24"/>
          <w:szCs w:val="32"/>
          <w:highlight w:val="none"/>
          <w:u w:val="none"/>
        </w:rPr>
        <w:t>须具备合法注册的法人或其他组织的营业执照、组织机构代码证、税务登记证或统一社会信用代码的营业执照等证明文件,投标人为代理商的需提供生产厂家针对本项目的授权书</w:t>
      </w:r>
      <w:r>
        <w:rPr>
          <w:rFonts w:hint="eastAsia" w:ascii="宋体" w:hAnsi="宋体" w:eastAsia="宋体" w:cs="宋体"/>
          <w:b w:val="0"/>
          <w:bCs/>
          <w:sz w:val="24"/>
          <w:szCs w:val="32"/>
          <w:highlight w:val="none"/>
          <w:u w:val="none"/>
          <w:lang w:eastAsia="zh-CN"/>
        </w:rPr>
        <w:t>（原件</w:t>
      </w:r>
      <w:r>
        <w:rPr>
          <w:rFonts w:hint="eastAsia" w:ascii="宋体" w:hAnsi="宋体" w:cs="宋体"/>
          <w:b w:val="0"/>
          <w:bCs/>
          <w:sz w:val="24"/>
          <w:szCs w:val="32"/>
          <w:highlight w:val="none"/>
          <w:u w:val="none"/>
          <w:lang w:eastAsia="zh-CN"/>
        </w:rPr>
        <w:t>及复印件</w:t>
      </w:r>
      <w:r>
        <w:rPr>
          <w:rFonts w:hint="eastAsia" w:ascii="宋体" w:hAnsi="宋体" w:eastAsia="宋体" w:cs="宋体"/>
          <w:b w:val="0"/>
          <w:bCs/>
          <w:sz w:val="24"/>
          <w:szCs w:val="32"/>
          <w:highlight w:val="none"/>
          <w:u w:val="none"/>
          <w:lang w:eastAsia="zh-CN"/>
        </w:rPr>
        <w:t>）</w:t>
      </w:r>
      <w:r>
        <w:rPr>
          <w:rFonts w:hint="eastAsia" w:ascii="宋体" w:hAnsi="宋体" w:eastAsia="宋体" w:cs="宋体"/>
          <w:b w:val="0"/>
          <w:bCs/>
          <w:sz w:val="24"/>
          <w:szCs w:val="32"/>
          <w:highlight w:val="none"/>
          <w:u w:val="none"/>
        </w:rPr>
        <w:t>；</w:t>
      </w:r>
    </w:p>
    <w:p w14:paraId="17862BC7">
      <w:pPr>
        <w:pStyle w:val="11"/>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default"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2、投标人应授权合法的人员参加投标全过程，其中法定代表人直接参加投标的，须出具法人身份证，并与营业执照信息一致；法定代表人授权人参加投标的，应出具法定代表人授权书及被授权人身份证（原件及复印件）；</w:t>
      </w:r>
    </w:p>
    <w:p w14:paraId="009A3742">
      <w:pPr>
        <w:pStyle w:val="11"/>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lang w:val="en-US" w:eastAsia="zh-CN"/>
        </w:rPr>
      </w:pPr>
      <w:r>
        <w:rPr>
          <w:rFonts w:hint="eastAsia" w:ascii="宋体" w:hAnsi="宋体" w:cs="宋体"/>
          <w:b w:val="0"/>
          <w:bCs/>
          <w:sz w:val="24"/>
          <w:szCs w:val="32"/>
          <w:highlight w:val="none"/>
          <w:u w:val="none"/>
          <w:lang w:val="en-US" w:eastAsia="zh-CN"/>
        </w:rPr>
        <w:t>3、</w:t>
      </w:r>
      <w:r>
        <w:rPr>
          <w:rFonts w:hint="eastAsia" w:ascii="宋体" w:hAnsi="宋体" w:eastAsia="宋体" w:cs="宋体"/>
          <w:b w:val="0"/>
          <w:bCs/>
          <w:sz w:val="24"/>
          <w:szCs w:val="32"/>
          <w:highlight w:val="none"/>
          <w:u w:val="none"/>
          <w:lang w:val="en-US" w:eastAsia="zh-CN"/>
        </w:rPr>
        <w:t>供应商须未被列入“信用中国”网站（www.creditchina.gov.cn）失信被执行人（以截图打印并加盖单位鲜章为准）；</w:t>
      </w:r>
    </w:p>
    <w:p w14:paraId="0EBFFC90">
      <w:pPr>
        <w:pStyle w:val="11"/>
        <w:keepNext w:val="0"/>
        <w:keepLines w:val="0"/>
        <w:pageBreakBefore w:val="0"/>
        <w:kinsoku/>
        <w:overflowPunct/>
        <w:topLinePunct w:val="0"/>
        <w:bidi w:val="0"/>
        <w:spacing w:line="360" w:lineRule="auto"/>
        <w:ind w:right="0" w:firstLine="480" w:firstLineChars="200"/>
        <w:textAlignment w:val="auto"/>
        <w:rPr>
          <w:rFonts w:hint="eastAsia" w:ascii="宋体" w:hAnsi="宋体" w:eastAsia="宋体" w:cs="宋体"/>
          <w:b w:val="0"/>
          <w:bCs/>
          <w:sz w:val="24"/>
          <w:szCs w:val="32"/>
          <w:highlight w:val="none"/>
          <w:u w:val="none"/>
          <w:lang w:eastAsia="zh-CN"/>
        </w:rPr>
      </w:pPr>
      <w:r>
        <w:rPr>
          <w:rFonts w:hint="eastAsia" w:ascii="宋体" w:hAnsi="宋体" w:cs="宋体"/>
          <w:b w:val="0"/>
          <w:bCs/>
          <w:sz w:val="24"/>
          <w:szCs w:val="32"/>
          <w:highlight w:val="none"/>
          <w:u w:val="none"/>
          <w:lang w:val="en-US" w:eastAsia="zh-CN"/>
        </w:rPr>
        <w:t>4、</w:t>
      </w:r>
      <w:r>
        <w:rPr>
          <w:rFonts w:hint="eastAsia" w:ascii="宋体" w:hAnsi="宋体" w:eastAsia="宋体" w:cs="宋体"/>
          <w:b w:val="0"/>
          <w:bCs/>
          <w:sz w:val="24"/>
          <w:szCs w:val="32"/>
          <w:highlight w:val="none"/>
          <w:u w:val="none"/>
          <w:lang w:eastAsia="zh-CN"/>
        </w:rPr>
        <w:t>以上复印件均须加盖单位鲜章（不接受电脑扫描件作为原件资质）。</w:t>
      </w:r>
    </w:p>
    <w:p w14:paraId="0A7F406D">
      <w:pPr>
        <w:keepNext w:val="0"/>
        <w:keepLines w:val="0"/>
        <w:pageBreakBefore w:val="0"/>
        <w:widowControl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lang w:eastAsia="zh-CN"/>
        </w:rPr>
      </w:pPr>
      <w:r>
        <w:rPr>
          <w:rFonts w:hint="eastAsia" w:ascii="宋体" w:hAnsi="宋体" w:cs="宋体"/>
          <w:b w:val="0"/>
          <w:bCs/>
          <w:sz w:val="24"/>
          <w:szCs w:val="32"/>
          <w:highlight w:val="none"/>
          <w:u w:val="none"/>
          <w:lang w:val="en-US" w:eastAsia="zh-CN"/>
        </w:rPr>
        <w:t>5</w:t>
      </w:r>
      <w:r>
        <w:rPr>
          <w:rFonts w:hint="eastAsia" w:ascii="宋体" w:hAnsi="宋体" w:eastAsia="宋体" w:cs="宋体"/>
          <w:b w:val="0"/>
          <w:bCs/>
          <w:sz w:val="24"/>
          <w:szCs w:val="32"/>
          <w:highlight w:val="none"/>
          <w:u w:val="none"/>
          <w:lang w:val="en-US" w:eastAsia="zh-CN"/>
        </w:rPr>
        <w:t>、</w:t>
      </w:r>
      <w:r>
        <w:rPr>
          <w:rFonts w:hint="eastAsia" w:ascii="宋体" w:hAnsi="宋体" w:eastAsia="宋体" w:cs="宋体"/>
          <w:b w:val="0"/>
          <w:bCs/>
          <w:sz w:val="24"/>
          <w:szCs w:val="32"/>
          <w:highlight w:val="none"/>
          <w:u w:val="none"/>
          <w:lang w:eastAsia="zh-CN"/>
        </w:rPr>
        <w:t>本项目不允许联合体投标。</w:t>
      </w:r>
    </w:p>
    <w:p w14:paraId="36F969A8">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1"/>
          <w:rFonts w:hint="eastAsia" w:ascii="宋体" w:hAnsi="宋体" w:eastAsia="宋体" w:cs="宋体"/>
          <w:kern w:val="0"/>
          <w:sz w:val="24"/>
          <w:szCs w:val="24"/>
          <w:highlight w:val="none"/>
        </w:rPr>
        <w:t xml:space="preserve"> </w:t>
      </w:r>
    </w:p>
    <w:p w14:paraId="4C7EEDF0">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14:paraId="3B1AEBD5">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5C3A4DBE">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029604D6">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13EBF030">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1.4法定代表人（单位负责人）身份证明</w:t>
      </w:r>
    </w:p>
    <w:p w14:paraId="7E617D2A">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1.5法定代表人授权委托书</w:t>
      </w:r>
    </w:p>
    <w:p w14:paraId="43A7F0D5">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6CE7CDD8">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7FBA69AA">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1.8投标人拒绝商业贿赂承诺书</w:t>
      </w:r>
    </w:p>
    <w:p w14:paraId="4A62499D">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1.9对招标文件及合同条款的承诺及补充意见</w:t>
      </w:r>
    </w:p>
    <w:p w14:paraId="4154FF2F">
      <w:pPr>
        <w:pStyle w:val="2"/>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eastAsia="宋体" w:cs="宋体"/>
          <w:b/>
          <w:bCs/>
          <w:color w:val="auto"/>
          <w:kern w:val="2"/>
          <w:sz w:val="24"/>
          <w:szCs w:val="24"/>
          <w:highlight w:val="none"/>
          <w:u w:val="none"/>
          <w:lang w:val="en-US" w:eastAsia="zh-CN" w:bidi="ar-SA"/>
        </w:rPr>
        <w:t>五、投标文件编制与装订</w:t>
      </w:r>
      <w:bookmarkStart w:id="0" w:name="_Toc20354"/>
    </w:p>
    <w:bookmarkEnd w:id="0"/>
    <w:p w14:paraId="1C07C47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Fonts w:hint="eastAsia" w:ascii="宋体" w:hAnsi="宋体" w:eastAsia="宋体" w:cs="宋体"/>
          <w:b/>
          <w:bCs/>
          <w:caps w:val="0"/>
          <w:sz w:val="24"/>
          <w:szCs w:val="24"/>
          <w:highlight w:val="none"/>
          <w:lang w:val="en-US" w:eastAsia="zh-CN"/>
        </w:rPr>
        <w:t>正副本每页均需加盖鲜章，</w:t>
      </w:r>
      <w:r>
        <w:rPr>
          <w:rFonts w:hint="eastAsia" w:ascii="宋体" w:hAnsi="宋体" w:eastAsia="宋体" w:cs="宋体"/>
          <w:b/>
          <w:bCs/>
          <w:sz w:val="24"/>
          <w:szCs w:val="24"/>
          <w:highlight w:val="none"/>
        </w:rPr>
        <w:t>副本可以是复印件，但</w:t>
      </w:r>
      <w:r>
        <w:rPr>
          <w:rFonts w:hint="eastAsia" w:ascii="宋体" w:hAnsi="宋体" w:eastAsia="宋体" w:cs="宋体"/>
          <w:b/>
          <w:bCs/>
          <w:sz w:val="24"/>
          <w:szCs w:val="24"/>
          <w:highlight w:val="none"/>
          <w:lang w:eastAsia="zh-CN"/>
        </w:rPr>
        <w:t>盖章</w:t>
      </w:r>
      <w:r>
        <w:rPr>
          <w:rFonts w:hint="eastAsia" w:ascii="宋体" w:hAnsi="宋体" w:eastAsia="宋体" w:cs="宋体"/>
          <w:b/>
          <w:bCs/>
          <w:sz w:val="24"/>
          <w:szCs w:val="24"/>
          <w:highlight w:val="none"/>
        </w:rPr>
        <w:t>应是</w:t>
      </w:r>
      <w:r>
        <w:rPr>
          <w:rFonts w:hint="eastAsia" w:ascii="宋体" w:hAnsi="宋体" w:eastAsia="宋体" w:cs="宋体"/>
          <w:b/>
          <w:bCs/>
          <w:sz w:val="24"/>
          <w:szCs w:val="24"/>
          <w:highlight w:val="none"/>
          <w:lang w:eastAsia="zh-CN"/>
        </w:rPr>
        <w:t>鲜章</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应分别胶装成册，装订应牢固、不易拆散和换页，不得采用活页装订。电子版投标文件为投标文件正本PDF格式，保存于U盘并用标签注明单位名称。</w:t>
      </w:r>
    </w:p>
    <w:p w14:paraId="5D812CB6">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14:paraId="158F0BA3">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b/>
          <w:bCs/>
          <w:kern w:val="0"/>
          <w:sz w:val="24"/>
          <w:szCs w:val="24"/>
          <w:highlight w:val="none"/>
          <w:lang w:val="en-US" w:eastAsia="zh-CN"/>
        </w:rPr>
        <w:t>3</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投标文件</w:t>
      </w:r>
      <w:r>
        <w:rPr>
          <w:rStyle w:val="31"/>
          <w:rFonts w:hint="eastAsia" w:ascii="宋体" w:hAnsi="宋体" w:eastAsia="宋体" w:cs="宋体"/>
          <w:b/>
          <w:bCs/>
          <w:kern w:val="0"/>
          <w:sz w:val="24"/>
          <w:szCs w:val="24"/>
          <w:highlight w:val="none"/>
        </w:rPr>
        <w:t>的正本1份</w:t>
      </w:r>
      <w:r>
        <w:rPr>
          <w:rStyle w:val="31"/>
          <w:rFonts w:hint="eastAsia" w:ascii="宋体" w:hAnsi="宋体" w:eastAsia="宋体" w:cs="宋体"/>
          <w:b/>
          <w:bCs/>
          <w:kern w:val="0"/>
          <w:sz w:val="24"/>
          <w:szCs w:val="24"/>
          <w:highlight w:val="none"/>
          <w:lang w:val="en-US" w:eastAsia="zh-CN"/>
        </w:rPr>
        <w:t>及电子版投标文件（U盘）</w:t>
      </w:r>
      <w:r>
        <w:rPr>
          <w:rStyle w:val="31"/>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1"/>
          <w:rFonts w:hint="eastAsia" w:ascii="宋体" w:hAnsi="宋体" w:eastAsia="宋体" w:cs="宋体"/>
          <w:b/>
          <w:bCs/>
          <w:kern w:val="0"/>
          <w:sz w:val="24"/>
          <w:szCs w:val="24"/>
          <w:highlight w:val="none"/>
          <w:lang w:eastAsia="zh-CN"/>
        </w:rPr>
        <w:t>密封骑缝</w:t>
      </w:r>
      <w:r>
        <w:rPr>
          <w:rStyle w:val="31"/>
          <w:rFonts w:hint="eastAsia" w:ascii="宋体" w:hAnsi="宋体" w:eastAsia="宋体" w:cs="宋体"/>
          <w:b/>
          <w:bCs/>
          <w:kern w:val="0"/>
          <w:sz w:val="24"/>
          <w:szCs w:val="24"/>
          <w:highlight w:val="none"/>
        </w:rPr>
        <w:t>处应加盖</w:t>
      </w:r>
      <w:r>
        <w:rPr>
          <w:rStyle w:val="31"/>
          <w:rFonts w:hint="eastAsia" w:ascii="宋体" w:hAnsi="宋体" w:eastAsia="宋体" w:cs="宋体"/>
          <w:b/>
          <w:bCs/>
          <w:kern w:val="0"/>
          <w:sz w:val="24"/>
          <w:szCs w:val="24"/>
          <w:highlight w:val="none"/>
          <w:lang w:eastAsia="zh-CN"/>
        </w:rPr>
        <w:t>投标人</w:t>
      </w:r>
      <w:r>
        <w:rPr>
          <w:rStyle w:val="31"/>
          <w:rFonts w:hint="eastAsia" w:ascii="宋体" w:hAnsi="宋体" w:eastAsia="宋体" w:cs="宋体"/>
          <w:b/>
          <w:bCs/>
          <w:kern w:val="0"/>
          <w:sz w:val="24"/>
          <w:szCs w:val="24"/>
          <w:highlight w:val="none"/>
        </w:rPr>
        <w:t>单位公章，</w:t>
      </w:r>
      <w:r>
        <w:rPr>
          <w:rStyle w:val="31"/>
          <w:rFonts w:hint="eastAsia" w:ascii="宋体" w:hAnsi="宋体" w:eastAsia="宋体" w:cs="宋体"/>
          <w:b/>
          <w:bCs/>
          <w:kern w:val="0"/>
          <w:sz w:val="24"/>
          <w:szCs w:val="24"/>
          <w:highlight w:val="none"/>
          <w:lang w:eastAsia="zh-CN"/>
        </w:rPr>
        <w:t>密封袋正面</w:t>
      </w:r>
      <w:r>
        <w:rPr>
          <w:rStyle w:val="31"/>
          <w:rFonts w:hint="eastAsia" w:ascii="宋体" w:hAnsi="宋体" w:eastAsia="宋体" w:cs="宋体"/>
          <w:b/>
          <w:bCs/>
          <w:kern w:val="0"/>
          <w:sz w:val="24"/>
          <w:szCs w:val="24"/>
          <w:highlight w:val="none"/>
        </w:rPr>
        <w:t>标明投标名称</w:t>
      </w:r>
      <w:r>
        <w:rPr>
          <w:rStyle w:val="31"/>
          <w:rFonts w:hint="eastAsia" w:ascii="宋体" w:hAnsi="宋体" w:eastAsia="宋体" w:cs="宋体"/>
          <w:b/>
          <w:bCs/>
          <w:kern w:val="0"/>
          <w:sz w:val="24"/>
          <w:szCs w:val="24"/>
          <w:highlight w:val="none"/>
          <w:lang w:eastAsia="zh-CN"/>
        </w:rPr>
        <w:t>、投标文件启封时间、投标人名称（加盖鲜章）</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并</w:t>
      </w:r>
      <w:r>
        <w:rPr>
          <w:rStyle w:val="31"/>
          <w:rFonts w:hint="eastAsia" w:ascii="宋体" w:hAnsi="宋体" w:eastAsia="宋体" w:cs="宋体"/>
          <w:b/>
          <w:bCs/>
          <w:kern w:val="0"/>
          <w:sz w:val="24"/>
          <w:szCs w:val="24"/>
          <w:highlight w:val="none"/>
        </w:rPr>
        <w:t>按投标日程规定日期送至指定地点。</w:t>
      </w:r>
      <w:r>
        <w:rPr>
          <w:rStyle w:val="31"/>
          <w:rFonts w:hint="eastAsia" w:ascii="宋体" w:hAnsi="宋体" w:eastAsia="宋体" w:cs="宋体"/>
          <w:kern w:val="0"/>
          <w:sz w:val="24"/>
          <w:szCs w:val="24"/>
          <w:highlight w:val="none"/>
        </w:rPr>
        <w:t xml:space="preserve"> </w:t>
      </w:r>
    </w:p>
    <w:p w14:paraId="6E3DA008">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4</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投标人</w:t>
      </w:r>
      <w:r>
        <w:rPr>
          <w:rStyle w:val="31"/>
          <w:rFonts w:hint="eastAsia" w:ascii="宋体" w:hAnsi="宋体" w:eastAsia="宋体" w:cs="宋体"/>
          <w:kern w:val="0"/>
          <w:sz w:val="24"/>
          <w:szCs w:val="24"/>
          <w:highlight w:val="none"/>
        </w:rPr>
        <w:t>在</w:t>
      </w:r>
      <w:r>
        <w:rPr>
          <w:rStyle w:val="31"/>
          <w:rFonts w:hint="eastAsia" w:ascii="宋体" w:hAnsi="宋体" w:eastAsia="宋体" w:cs="宋体"/>
          <w:kern w:val="0"/>
          <w:sz w:val="24"/>
          <w:szCs w:val="24"/>
          <w:highlight w:val="none"/>
          <w:lang w:val="en-US" w:eastAsia="zh-CN"/>
        </w:rPr>
        <w:t>投标文件</w:t>
      </w:r>
      <w:r>
        <w:rPr>
          <w:rStyle w:val="31"/>
          <w:rFonts w:hint="eastAsia" w:ascii="宋体" w:hAnsi="宋体" w:eastAsia="宋体" w:cs="宋体"/>
          <w:kern w:val="0"/>
          <w:sz w:val="24"/>
          <w:szCs w:val="24"/>
          <w:highlight w:val="none"/>
        </w:rPr>
        <w:t>截止</w:t>
      </w:r>
      <w:r>
        <w:rPr>
          <w:rStyle w:val="31"/>
          <w:rFonts w:hint="eastAsia" w:ascii="宋体" w:hAnsi="宋体" w:eastAsia="宋体" w:cs="宋体"/>
          <w:kern w:val="0"/>
          <w:sz w:val="24"/>
          <w:szCs w:val="24"/>
          <w:highlight w:val="none"/>
          <w:lang w:val="en-US" w:eastAsia="zh-CN"/>
        </w:rPr>
        <w:t>递交</w:t>
      </w:r>
      <w:r>
        <w:rPr>
          <w:rStyle w:val="31"/>
          <w:rFonts w:hint="eastAsia" w:ascii="宋体" w:hAnsi="宋体" w:eastAsia="宋体" w:cs="宋体"/>
          <w:kern w:val="0"/>
          <w:sz w:val="24"/>
          <w:szCs w:val="24"/>
          <w:highlight w:val="none"/>
        </w:rPr>
        <w:t xml:space="preserve">时间之前可书面修改或撤销，迟交或未按规定密封的不予接受。 </w:t>
      </w:r>
    </w:p>
    <w:p w14:paraId="149E0FA0">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有效期为自</w:t>
      </w:r>
      <w:r>
        <w:rPr>
          <w:rStyle w:val="31"/>
          <w:rFonts w:hint="eastAsia" w:ascii="宋体" w:hAnsi="宋体" w:eastAsia="宋体" w:cs="宋体"/>
          <w:kern w:val="0"/>
          <w:sz w:val="24"/>
          <w:szCs w:val="24"/>
          <w:highlight w:val="none"/>
          <w:lang w:val="en-US" w:eastAsia="zh-CN"/>
        </w:rPr>
        <w:t>开标</w:t>
      </w:r>
      <w:r>
        <w:rPr>
          <w:rStyle w:val="31"/>
          <w:rFonts w:hint="eastAsia" w:ascii="宋体" w:hAnsi="宋体" w:eastAsia="宋体" w:cs="宋体"/>
          <w:kern w:val="0"/>
          <w:sz w:val="24"/>
          <w:szCs w:val="24"/>
          <w:highlight w:val="none"/>
        </w:rPr>
        <w:t>之日起算九十（90）个日历日，</w:t>
      </w:r>
      <w:r>
        <w:rPr>
          <w:rStyle w:val="31"/>
          <w:rFonts w:hint="eastAsia" w:ascii="宋体" w:hAnsi="宋体" w:eastAsia="宋体" w:cs="宋体"/>
          <w:kern w:val="0"/>
          <w:sz w:val="24"/>
          <w:szCs w:val="24"/>
          <w:highlight w:val="none"/>
          <w:lang w:eastAsia="zh-CN"/>
        </w:rPr>
        <w:t>中标候选人</w:t>
      </w:r>
      <w:r>
        <w:rPr>
          <w:rStyle w:val="31"/>
          <w:rFonts w:hint="eastAsia" w:ascii="宋体" w:hAnsi="宋体" w:eastAsia="宋体" w:cs="宋体"/>
          <w:kern w:val="0"/>
          <w:sz w:val="24"/>
          <w:szCs w:val="24"/>
          <w:highlight w:val="none"/>
        </w:rPr>
        <w:t>的</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有效期延长至合同执行完毕。</w:t>
      </w:r>
    </w:p>
    <w:p w14:paraId="0E508A36">
      <w:pPr>
        <w:pStyle w:val="2"/>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5</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6B4AFCFF">
      <w:pPr>
        <w:pageBreakBefore w:val="0"/>
        <w:kinsoku/>
        <w:wordWrap/>
        <w:overflowPunct/>
        <w:topLinePunct w:val="0"/>
        <w:bidi w:val="0"/>
        <w:spacing w:line="360" w:lineRule="auto"/>
        <w:ind w:left="0" w:leftChars="0"/>
        <w:textAlignment w:val="auto"/>
        <w:rPr>
          <w:rFonts w:hint="eastAsia" w:ascii="宋体" w:hAnsi="宋体" w:eastAsia="宋体" w:cs="宋体"/>
          <w:b/>
          <w:sz w:val="24"/>
          <w:szCs w:val="24"/>
          <w:highlight w:val="none"/>
        </w:rPr>
      </w:pPr>
    </w:p>
    <w:p w14:paraId="4FC3BED4">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lang w:eastAsia="zh-CN"/>
        </w:rPr>
      </w:pPr>
    </w:p>
    <w:p w14:paraId="5B2478DF">
      <w:pPr>
        <w:pStyle w:val="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lang w:eastAsia="zh-CN"/>
        </w:rPr>
      </w:pPr>
    </w:p>
    <w:p w14:paraId="320EB91E">
      <w:pPr>
        <w:pStyle w:val="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lang w:eastAsia="zh-CN"/>
        </w:rPr>
      </w:pPr>
    </w:p>
    <w:p w14:paraId="3470E9F6">
      <w:pPr>
        <w:pStyle w:val="7"/>
        <w:rPr>
          <w:rFonts w:hint="eastAsia" w:ascii="宋体" w:hAnsi="宋体" w:eastAsia="宋体" w:cs="宋体"/>
          <w:sz w:val="24"/>
          <w:szCs w:val="24"/>
          <w:highlight w:val="none"/>
          <w:lang w:eastAsia="zh-CN"/>
        </w:rPr>
      </w:pPr>
    </w:p>
    <w:p w14:paraId="630819C0">
      <w:pPr>
        <w:rPr>
          <w:rFonts w:hint="eastAsia" w:ascii="宋体" w:hAnsi="宋体" w:eastAsia="宋体" w:cs="宋体"/>
          <w:sz w:val="24"/>
          <w:szCs w:val="24"/>
          <w:highlight w:val="none"/>
          <w:lang w:eastAsia="zh-CN"/>
        </w:rPr>
      </w:pPr>
    </w:p>
    <w:p w14:paraId="09CEC0BC">
      <w:pPr>
        <w:pStyle w:val="2"/>
        <w:rPr>
          <w:rFonts w:hint="eastAsia"/>
          <w:highlight w:val="none"/>
          <w:lang w:eastAsia="zh-CN"/>
        </w:rPr>
      </w:pPr>
    </w:p>
    <w:p w14:paraId="37829DFE">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34FBE7D5">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16590_WPSOffice_Level2"/>
      <w:bookmarkStart w:id="3" w:name="_Toc6973_WPSOffice_Level1"/>
    </w:p>
    <w:p w14:paraId="7A222371">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07ED1CA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32071970">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tbl>
      <w:tblPr>
        <w:tblStyle w:val="20"/>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034"/>
        <w:gridCol w:w="6078"/>
      </w:tblGrid>
      <w:tr w14:paraId="1331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43" w:type="dxa"/>
            <w:gridSpan w:val="2"/>
            <w:noWrap w:val="0"/>
            <w:vAlign w:val="center"/>
          </w:tcPr>
          <w:p w14:paraId="44F30AD6">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482" w:firstLineChars="200"/>
              <w:jc w:val="both"/>
              <w:textAlignment w:val="auto"/>
              <w:rPr>
                <w:rFonts w:hint="eastAsia" w:ascii="宋体" w:hAnsi="宋体" w:eastAsia="宋体" w:cs="宋体"/>
                <w:b/>
                <w:snapToGrid w:val="0"/>
                <w:kern w:val="0"/>
                <w:sz w:val="24"/>
                <w:szCs w:val="24"/>
                <w:highlight w:val="none"/>
              </w:rPr>
            </w:pPr>
            <w:r>
              <w:rPr>
                <w:rFonts w:hint="eastAsia" w:ascii="宋体" w:hAnsi="宋体" w:eastAsia="宋体" w:cs="宋体"/>
                <w:b/>
                <w:snapToGrid w:val="0"/>
                <w:kern w:val="0"/>
                <w:sz w:val="24"/>
                <w:szCs w:val="24"/>
                <w:highlight w:val="none"/>
              </w:rPr>
              <w:t>评分因素</w:t>
            </w:r>
          </w:p>
        </w:tc>
        <w:tc>
          <w:tcPr>
            <w:tcW w:w="6078" w:type="dxa"/>
            <w:noWrap w:val="0"/>
            <w:vAlign w:val="center"/>
          </w:tcPr>
          <w:p w14:paraId="25044E00">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482" w:firstLineChars="200"/>
              <w:jc w:val="both"/>
              <w:textAlignment w:val="auto"/>
              <w:rPr>
                <w:rFonts w:hint="eastAsia" w:ascii="宋体" w:hAnsi="宋体" w:eastAsia="宋体" w:cs="宋体"/>
                <w:b/>
                <w:snapToGrid w:val="0"/>
                <w:kern w:val="0"/>
                <w:sz w:val="24"/>
                <w:szCs w:val="24"/>
                <w:highlight w:val="none"/>
              </w:rPr>
            </w:pPr>
            <w:r>
              <w:rPr>
                <w:rFonts w:hint="eastAsia" w:ascii="宋体" w:hAnsi="宋体" w:eastAsia="宋体" w:cs="宋体"/>
                <w:b/>
                <w:snapToGrid w:val="0"/>
                <w:kern w:val="0"/>
                <w:sz w:val="24"/>
                <w:szCs w:val="24"/>
                <w:highlight w:val="none"/>
              </w:rPr>
              <w:t>评分标准</w:t>
            </w:r>
          </w:p>
        </w:tc>
      </w:tr>
      <w:tr w14:paraId="6A6C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209" w:type="dxa"/>
            <w:noWrap w:val="0"/>
            <w:vAlign w:val="center"/>
          </w:tcPr>
          <w:p w14:paraId="7CF41AF4">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eastAsia="宋体" w:cs="宋体"/>
                <w:snapToGrid w:val="0"/>
                <w:kern w:val="0"/>
                <w:sz w:val="24"/>
                <w:szCs w:val="24"/>
                <w:highlight w:val="none"/>
                <w:lang w:eastAsia="zh-CN"/>
              </w:rPr>
            </w:pPr>
            <w:r>
              <w:rPr>
                <w:rFonts w:hint="eastAsia" w:ascii="宋体" w:hAnsi="宋体" w:eastAsia="宋体" w:cs="宋体"/>
                <w:snapToGrid w:val="0"/>
                <w:kern w:val="0"/>
                <w:sz w:val="24"/>
                <w:szCs w:val="24"/>
                <w:highlight w:val="none"/>
              </w:rPr>
              <w:t>商务</w:t>
            </w:r>
            <w:r>
              <w:rPr>
                <w:rFonts w:hint="eastAsia" w:ascii="宋体" w:hAnsi="宋体" w:eastAsia="宋体" w:cs="宋体"/>
                <w:snapToGrid w:val="0"/>
                <w:kern w:val="0"/>
                <w:sz w:val="24"/>
                <w:szCs w:val="24"/>
                <w:highlight w:val="none"/>
                <w:lang w:eastAsia="zh-CN"/>
              </w:rPr>
              <w:t>评标部分（</w:t>
            </w:r>
            <w:r>
              <w:rPr>
                <w:rFonts w:hint="eastAsia" w:ascii="宋体" w:hAnsi="宋体" w:eastAsia="宋体" w:cs="宋体"/>
                <w:snapToGrid w:val="0"/>
                <w:kern w:val="0"/>
                <w:sz w:val="24"/>
                <w:szCs w:val="24"/>
                <w:highlight w:val="none"/>
                <w:lang w:val="en-US" w:eastAsia="zh-CN"/>
              </w:rPr>
              <w:t>3</w:t>
            </w:r>
            <w:r>
              <w:rPr>
                <w:rFonts w:hint="eastAsia" w:ascii="宋体" w:hAnsi="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lang w:val="en-US" w:eastAsia="zh-CN"/>
              </w:rPr>
              <w:t>分</w:t>
            </w:r>
            <w:r>
              <w:rPr>
                <w:rFonts w:hint="eastAsia" w:ascii="宋体" w:hAnsi="宋体" w:eastAsia="宋体" w:cs="宋体"/>
                <w:snapToGrid w:val="0"/>
                <w:kern w:val="0"/>
                <w:sz w:val="24"/>
                <w:szCs w:val="24"/>
                <w:highlight w:val="none"/>
                <w:lang w:eastAsia="zh-CN"/>
              </w:rPr>
              <w:t>）</w:t>
            </w:r>
          </w:p>
        </w:tc>
        <w:tc>
          <w:tcPr>
            <w:tcW w:w="2034" w:type="dxa"/>
            <w:noWrap w:val="0"/>
            <w:vAlign w:val="center"/>
          </w:tcPr>
          <w:p w14:paraId="5952D18D">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eastAsia="宋体" w:cs="宋体"/>
                <w:snapToGrid w:val="0"/>
                <w:kern w:val="0"/>
                <w:sz w:val="24"/>
                <w:szCs w:val="24"/>
                <w:highlight w:val="none"/>
              </w:rPr>
            </w:pPr>
            <w:bookmarkStart w:id="4" w:name="_Toc152045586"/>
            <w:bookmarkStart w:id="5" w:name="_Toc144974553"/>
            <w:bookmarkStart w:id="6" w:name="_Toc369531576"/>
            <w:bookmarkStart w:id="7" w:name="_Toc361508645"/>
            <w:bookmarkStart w:id="8" w:name="_Toc352691532"/>
            <w:bookmarkStart w:id="9" w:name="_Toc384308271"/>
            <w:bookmarkStart w:id="10" w:name="_Toc12369"/>
            <w:bookmarkStart w:id="11" w:name="_Toc247527611"/>
            <w:bookmarkStart w:id="12" w:name="_Toc247514010"/>
            <w:bookmarkStart w:id="13" w:name="_Toc300835007"/>
            <w:bookmarkStart w:id="14" w:name="_Toc152042363"/>
            <w:r>
              <w:rPr>
                <w:rFonts w:hint="eastAsia" w:ascii="宋体" w:hAnsi="宋体" w:eastAsia="宋体" w:cs="宋体"/>
                <w:snapToGrid w:val="0"/>
                <w:kern w:val="0"/>
                <w:sz w:val="24"/>
                <w:szCs w:val="24"/>
                <w:highlight w:val="none"/>
              </w:rPr>
              <w:t>投标报价</w:t>
            </w:r>
          </w:p>
          <w:p w14:paraId="54613E4A">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val="en-US" w:eastAsia="zh-CN"/>
              </w:rPr>
              <w:t>3</w:t>
            </w:r>
            <w:r>
              <w:rPr>
                <w:rFonts w:hint="eastAsia" w:ascii="宋体" w:hAnsi="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分）</w:t>
            </w:r>
          </w:p>
        </w:tc>
        <w:tc>
          <w:tcPr>
            <w:tcW w:w="6078" w:type="dxa"/>
            <w:noWrap w:val="0"/>
            <w:vAlign w:val="center"/>
          </w:tcPr>
          <w:p w14:paraId="1F747B0C">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以有效投标人的最低投标报价为评标基准价得满分</w:t>
            </w:r>
            <w:r>
              <w:rPr>
                <w:rFonts w:hint="eastAsia" w:ascii="宋体" w:hAnsi="宋体" w:eastAsia="宋体" w:cs="宋体"/>
                <w:snapToGrid w:val="0"/>
                <w:kern w:val="0"/>
                <w:sz w:val="24"/>
                <w:szCs w:val="24"/>
                <w:highlight w:val="none"/>
                <w:lang w:eastAsia="zh-CN"/>
              </w:rPr>
              <w:t xml:space="preserve">，投标报价得分=（评标基准价/投标报价）x </w:t>
            </w:r>
            <w:r>
              <w:rPr>
                <w:rFonts w:hint="eastAsia" w:ascii="宋体" w:hAnsi="宋体" w:eastAsia="宋体" w:cs="宋体"/>
                <w:snapToGrid w:val="0"/>
                <w:kern w:val="0"/>
                <w:sz w:val="24"/>
                <w:szCs w:val="24"/>
                <w:highlight w:val="none"/>
                <w:lang w:val="en-US" w:eastAsia="zh-CN"/>
              </w:rPr>
              <w:t>3</w:t>
            </w:r>
            <w:r>
              <w:rPr>
                <w:rFonts w:hint="eastAsia" w:ascii="宋体" w:hAnsi="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lang w:eastAsia="zh-CN"/>
              </w:rPr>
              <w:t>分的公式计算。</w:t>
            </w:r>
          </w:p>
        </w:tc>
      </w:tr>
      <w:bookmarkEnd w:id="4"/>
      <w:bookmarkEnd w:id="5"/>
      <w:bookmarkEnd w:id="6"/>
      <w:bookmarkEnd w:id="7"/>
      <w:bookmarkEnd w:id="8"/>
      <w:bookmarkEnd w:id="9"/>
      <w:bookmarkEnd w:id="10"/>
      <w:bookmarkEnd w:id="11"/>
      <w:bookmarkEnd w:id="12"/>
      <w:bookmarkEnd w:id="13"/>
      <w:bookmarkEnd w:id="14"/>
      <w:tr w14:paraId="145C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jc w:val="center"/>
        </w:trPr>
        <w:tc>
          <w:tcPr>
            <w:tcW w:w="1209" w:type="dxa"/>
            <w:vMerge w:val="restart"/>
            <w:noWrap w:val="0"/>
            <w:vAlign w:val="center"/>
          </w:tcPr>
          <w:p w14:paraId="72EC95B7">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eastAsia="宋体" w:cs="宋体"/>
                <w:snapToGrid w:val="0"/>
                <w:kern w:val="0"/>
                <w:sz w:val="24"/>
                <w:szCs w:val="24"/>
                <w:highlight w:val="none"/>
                <w:lang w:eastAsia="zh-CN"/>
              </w:rPr>
            </w:pPr>
            <w:r>
              <w:rPr>
                <w:rFonts w:hint="eastAsia" w:ascii="宋体" w:hAnsi="宋体" w:eastAsia="宋体" w:cs="宋体"/>
                <w:snapToGrid w:val="0"/>
                <w:kern w:val="0"/>
                <w:sz w:val="24"/>
                <w:szCs w:val="24"/>
                <w:highlight w:val="none"/>
              </w:rPr>
              <w:t>技术</w:t>
            </w:r>
            <w:r>
              <w:rPr>
                <w:rFonts w:hint="eastAsia" w:ascii="宋体" w:hAnsi="宋体" w:eastAsia="宋体" w:cs="宋体"/>
                <w:snapToGrid w:val="0"/>
                <w:kern w:val="0"/>
                <w:sz w:val="24"/>
                <w:szCs w:val="24"/>
                <w:highlight w:val="none"/>
                <w:lang w:eastAsia="zh-CN"/>
              </w:rPr>
              <w:t>评标部分（</w:t>
            </w:r>
            <w:r>
              <w:rPr>
                <w:rFonts w:hint="eastAsia" w:ascii="宋体" w:hAnsi="宋体" w:cs="宋体"/>
                <w:snapToGrid w:val="0"/>
                <w:kern w:val="0"/>
                <w:sz w:val="24"/>
                <w:szCs w:val="24"/>
                <w:highlight w:val="none"/>
                <w:lang w:val="en-US" w:eastAsia="zh-CN"/>
              </w:rPr>
              <w:t>65</w:t>
            </w:r>
            <w:r>
              <w:rPr>
                <w:rFonts w:hint="eastAsia" w:ascii="宋体" w:hAnsi="宋体" w:eastAsia="宋体" w:cs="宋体"/>
                <w:snapToGrid w:val="0"/>
                <w:kern w:val="0"/>
                <w:sz w:val="24"/>
                <w:szCs w:val="24"/>
                <w:highlight w:val="none"/>
                <w:lang w:val="en-US" w:eastAsia="zh-CN"/>
              </w:rPr>
              <w:t>分</w:t>
            </w:r>
            <w:r>
              <w:rPr>
                <w:rFonts w:hint="eastAsia" w:ascii="宋体" w:hAnsi="宋体" w:eastAsia="宋体" w:cs="宋体"/>
                <w:snapToGrid w:val="0"/>
                <w:kern w:val="0"/>
                <w:sz w:val="24"/>
                <w:szCs w:val="24"/>
                <w:highlight w:val="none"/>
                <w:lang w:eastAsia="zh-CN"/>
              </w:rPr>
              <w:t>）</w:t>
            </w:r>
          </w:p>
        </w:tc>
        <w:tc>
          <w:tcPr>
            <w:tcW w:w="2034" w:type="dxa"/>
            <w:noWrap w:val="0"/>
            <w:vAlign w:val="center"/>
          </w:tcPr>
          <w:p w14:paraId="30DA1681">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技术方案</w:t>
            </w:r>
          </w:p>
          <w:p w14:paraId="6001F9BC">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val="en-US" w:eastAsia="zh-CN"/>
              </w:rPr>
              <w:t>4</w:t>
            </w:r>
            <w:r>
              <w:rPr>
                <w:rFonts w:hint="eastAsia" w:ascii="宋体" w:hAnsi="宋体" w:cs="宋体"/>
                <w:snapToGrid w:val="0"/>
                <w:kern w:val="0"/>
                <w:sz w:val="24"/>
                <w:szCs w:val="24"/>
                <w:highlight w:val="none"/>
                <w:lang w:val="en-US" w:eastAsia="zh-CN"/>
              </w:rPr>
              <w:t>4</w:t>
            </w:r>
            <w:r>
              <w:rPr>
                <w:rFonts w:hint="eastAsia" w:ascii="宋体" w:hAnsi="宋体" w:eastAsia="宋体" w:cs="宋体"/>
                <w:snapToGrid w:val="0"/>
                <w:kern w:val="0"/>
                <w:sz w:val="24"/>
                <w:szCs w:val="24"/>
                <w:highlight w:val="none"/>
              </w:rPr>
              <w:t>分）</w:t>
            </w:r>
          </w:p>
        </w:tc>
        <w:tc>
          <w:tcPr>
            <w:tcW w:w="6078" w:type="dxa"/>
            <w:noWrap w:val="0"/>
            <w:vAlign w:val="center"/>
          </w:tcPr>
          <w:p w14:paraId="7E7EF097">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1、产品配置齐全，数量准确，技术资料齐全，指标明确，无负偏差，符合招标文件要求，有详细技术参数介绍。（1-</w:t>
            </w:r>
            <w:r>
              <w:rPr>
                <w:rFonts w:hint="eastAsia" w:ascii="宋体" w:hAnsi="宋体" w:cs="宋体"/>
                <w:snapToGrid w:val="0"/>
                <w:kern w:val="0"/>
                <w:sz w:val="24"/>
                <w:szCs w:val="24"/>
                <w:highlight w:val="none"/>
                <w:lang w:val="en-US" w:eastAsia="zh-CN"/>
              </w:rPr>
              <w:t>10</w:t>
            </w:r>
            <w:r>
              <w:rPr>
                <w:rFonts w:hint="eastAsia" w:ascii="宋体" w:hAnsi="宋体" w:eastAsia="宋体" w:cs="宋体"/>
                <w:snapToGrid w:val="0"/>
                <w:kern w:val="0"/>
                <w:sz w:val="24"/>
                <w:szCs w:val="24"/>
                <w:highlight w:val="none"/>
              </w:rPr>
              <w:t>分）</w:t>
            </w:r>
          </w:p>
          <w:p w14:paraId="2C789178">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2、有先进生产工艺，做工精细，满足采购家具的加工要求。（1-</w:t>
            </w:r>
            <w:r>
              <w:rPr>
                <w:rFonts w:hint="eastAsia" w:ascii="宋体" w:hAnsi="宋体" w:cs="宋体"/>
                <w:snapToGrid w:val="0"/>
                <w:kern w:val="0"/>
                <w:sz w:val="24"/>
                <w:szCs w:val="24"/>
                <w:highlight w:val="none"/>
                <w:lang w:val="en-US" w:eastAsia="zh-CN"/>
              </w:rPr>
              <w:t>7</w:t>
            </w:r>
            <w:r>
              <w:rPr>
                <w:rFonts w:hint="eastAsia" w:ascii="宋体" w:hAnsi="宋体" w:eastAsia="宋体" w:cs="宋体"/>
                <w:snapToGrid w:val="0"/>
                <w:kern w:val="0"/>
                <w:sz w:val="24"/>
                <w:szCs w:val="24"/>
                <w:highlight w:val="none"/>
              </w:rPr>
              <w:t>分）</w:t>
            </w:r>
          </w:p>
          <w:p w14:paraId="02972386">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3、完善的实施方案，方案的安全性、可行性、规范性、合理性；（1-</w:t>
            </w:r>
            <w:r>
              <w:rPr>
                <w:rFonts w:hint="eastAsia" w:ascii="宋体" w:hAnsi="宋体" w:cs="宋体"/>
                <w:snapToGrid w:val="0"/>
                <w:kern w:val="0"/>
                <w:sz w:val="24"/>
                <w:szCs w:val="24"/>
                <w:highlight w:val="none"/>
                <w:lang w:val="en-US" w:eastAsia="zh-CN"/>
              </w:rPr>
              <w:t>7</w:t>
            </w:r>
            <w:r>
              <w:rPr>
                <w:rFonts w:hint="eastAsia" w:ascii="宋体" w:hAnsi="宋体" w:eastAsia="宋体" w:cs="宋体"/>
                <w:snapToGrid w:val="0"/>
                <w:kern w:val="0"/>
                <w:sz w:val="24"/>
                <w:szCs w:val="24"/>
                <w:highlight w:val="none"/>
              </w:rPr>
              <w:t>分）</w:t>
            </w:r>
          </w:p>
          <w:p w14:paraId="7719ABBA">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4、家具的五金件，配套件满足要求，质量可靠。（1-</w:t>
            </w:r>
            <w:r>
              <w:rPr>
                <w:rFonts w:hint="eastAsia" w:ascii="宋体" w:hAnsi="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分）</w:t>
            </w:r>
          </w:p>
          <w:p w14:paraId="225DD3DF">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5、供货方案完善、合理、科学、能保质保量按期供货（1-</w:t>
            </w:r>
            <w:r>
              <w:rPr>
                <w:rFonts w:hint="eastAsia" w:ascii="宋体" w:hAnsi="宋体" w:cs="宋体"/>
                <w:snapToGrid w:val="0"/>
                <w:kern w:val="0"/>
                <w:sz w:val="24"/>
                <w:szCs w:val="24"/>
                <w:highlight w:val="none"/>
                <w:lang w:val="en-US" w:eastAsia="zh-CN"/>
              </w:rPr>
              <w:t>7</w:t>
            </w:r>
            <w:r>
              <w:rPr>
                <w:rFonts w:hint="eastAsia" w:ascii="宋体" w:hAnsi="宋体" w:eastAsia="宋体" w:cs="宋体"/>
                <w:snapToGrid w:val="0"/>
                <w:kern w:val="0"/>
                <w:sz w:val="24"/>
                <w:szCs w:val="24"/>
                <w:highlight w:val="none"/>
              </w:rPr>
              <w:t>分）</w:t>
            </w:r>
          </w:p>
          <w:p w14:paraId="20ECF21E">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6、货物的环保型、耐用性、安全可靠性、操作性能，由评委根据投标单位所提供的</w:t>
            </w:r>
            <w:r>
              <w:rPr>
                <w:rFonts w:hint="eastAsia" w:ascii="宋体" w:hAnsi="宋体" w:cs="宋体"/>
                <w:snapToGrid w:val="0"/>
                <w:kern w:val="0"/>
                <w:sz w:val="24"/>
                <w:szCs w:val="24"/>
                <w:highlight w:val="none"/>
                <w:lang w:eastAsia="zh-CN"/>
              </w:rPr>
              <w:t>设备</w:t>
            </w:r>
            <w:r>
              <w:rPr>
                <w:rFonts w:hint="eastAsia" w:ascii="宋体" w:hAnsi="宋体" w:eastAsia="宋体" w:cs="宋体"/>
                <w:snapToGrid w:val="0"/>
                <w:kern w:val="0"/>
                <w:sz w:val="24"/>
                <w:szCs w:val="24"/>
                <w:highlight w:val="none"/>
              </w:rPr>
              <w:t>参数说明、生产地、工艺流程等技术资料比较。（1-</w:t>
            </w:r>
            <w:r>
              <w:rPr>
                <w:rFonts w:hint="eastAsia" w:ascii="宋体" w:hAnsi="宋体" w:cs="宋体"/>
                <w:snapToGrid w:val="0"/>
                <w:kern w:val="0"/>
                <w:sz w:val="24"/>
                <w:szCs w:val="24"/>
                <w:highlight w:val="none"/>
                <w:lang w:val="en-US" w:eastAsia="zh-CN"/>
              </w:rPr>
              <w:t>8</w:t>
            </w:r>
            <w:r>
              <w:rPr>
                <w:rFonts w:hint="eastAsia" w:ascii="宋体" w:hAnsi="宋体" w:eastAsia="宋体" w:cs="宋体"/>
                <w:snapToGrid w:val="0"/>
                <w:kern w:val="0"/>
                <w:sz w:val="24"/>
                <w:szCs w:val="24"/>
                <w:highlight w:val="none"/>
              </w:rPr>
              <w:t>分）</w:t>
            </w:r>
          </w:p>
        </w:tc>
      </w:tr>
      <w:tr w14:paraId="7521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1209" w:type="dxa"/>
            <w:vMerge w:val="continue"/>
            <w:noWrap w:val="0"/>
            <w:vAlign w:val="center"/>
          </w:tcPr>
          <w:p w14:paraId="7DF224DC">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宋体" w:hAnsi="宋体" w:eastAsia="宋体" w:cs="宋体"/>
                <w:snapToGrid w:val="0"/>
                <w:kern w:val="0"/>
                <w:sz w:val="24"/>
                <w:szCs w:val="24"/>
                <w:highlight w:val="none"/>
              </w:rPr>
            </w:pPr>
          </w:p>
        </w:tc>
        <w:tc>
          <w:tcPr>
            <w:tcW w:w="2034" w:type="dxa"/>
            <w:noWrap w:val="0"/>
            <w:vAlign w:val="center"/>
          </w:tcPr>
          <w:p w14:paraId="3564112A">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业绩</w:t>
            </w:r>
          </w:p>
          <w:p w14:paraId="21FBECA4">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分）</w:t>
            </w:r>
          </w:p>
        </w:tc>
        <w:tc>
          <w:tcPr>
            <w:tcW w:w="6078" w:type="dxa"/>
            <w:noWrap w:val="0"/>
            <w:vAlign w:val="center"/>
          </w:tcPr>
          <w:p w14:paraId="1AC747D0">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highlight w:val="none"/>
                <w:lang w:eastAsia="zh-CN"/>
              </w:rPr>
            </w:pPr>
            <w:r>
              <w:rPr>
                <w:rFonts w:hint="eastAsia"/>
                <w:sz w:val="24"/>
                <w:szCs w:val="24"/>
                <w:highlight w:val="none"/>
                <w:lang w:eastAsia="zh-CN"/>
              </w:rPr>
              <w:t>自</w:t>
            </w:r>
            <w:r>
              <w:rPr>
                <w:rFonts w:hint="eastAsia"/>
                <w:sz w:val="24"/>
                <w:szCs w:val="24"/>
                <w:highlight w:val="none"/>
                <w:lang w:val="en-US" w:eastAsia="zh-CN"/>
              </w:rPr>
              <w:t>2021年10月以来</w:t>
            </w:r>
            <w:r>
              <w:rPr>
                <w:rFonts w:hint="eastAsia"/>
                <w:sz w:val="24"/>
                <w:szCs w:val="24"/>
                <w:highlight w:val="none"/>
                <w:lang w:eastAsia="zh-CN"/>
              </w:rPr>
              <w:t>单笔合同金额在</w:t>
            </w:r>
            <w:r>
              <w:rPr>
                <w:rFonts w:hint="eastAsia"/>
                <w:sz w:val="24"/>
                <w:szCs w:val="24"/>
                <w:highlight w:val="none"/>
                <w:lang w:val="en-US" w:eastAsia="zh-CN"/>
              </w:rPr>
              <w:t>10万以上的</w:t>
            </w:r>
            <w:r>
              <w:rPr>
                <w:rFonts w:hint="eastAsia"/>
                <w:sz w:val="24"/>
                <w:szCs w:val="24"/>
                <w:highlight w:val="none"/>
                <w:lang w:eastAsia="zh-CN"/>
              </w:rPr>
              <w:t>项目供货业绩，每提供</w:t>
            </w:r>
            <w:r>
              <w:rPr>
                <w:rFonts w:hint="eastAsia"/>
                <w:sz w:val="24"/>
                <w:szCs w:val="24"/>
                <w:highlight w:val="none"/>
              </w:rPr>
              <w:t>一份合同</w:t>
            </w:r>
            <w:r>
              <w:rPr>
                <w:rFonts w:hint="eastAsia"/>
                <w:sz w:val="24"/>
                <w:szCs w:val="24"/>
                <w:highlight w:val="none"/>
                <w:lang w:eastAsia="zh-CN"/>
              </w:rPr>
              <w:t>得</w:t>
            </w:r>
            <w:r>
              <w:rPr>
                <w:rFonts w:hint="eastAsia"/>
                <w:sz w:val="24"/>
                <w:szCs w:val="24"/>
                <w:highlight w:val="none"/>
              </w:rPr>
              <w:t>2分，满分不超过</w:t>
            </w:r>
            <w:r>
              <w:rPr>
                <w:rFonts w:hint="eastAsia"/>
                <w:sz w:val="24"/>
                <w:szCs w:val="24"/>
                <w:highlight w:val="none"/>
                <w:lang w:val="en-US" w:eastAsia="zh-CN"/>
              </w:rPr>
              <w:t>6</w:t>
            </w:r>
            <w:r>
              <w:rPr>
                <w:rFonts w:hint="eastAsia"/>
                <w:sz w:val="24"/>
                <w:szCs w:val="24"/>
                <w:highlight w:val="none"/>
              </w:rPr>
              <w:t>分。</w:t>
            </w:r>
          </w:p>
        </w:tc>
      </w:tr>
      <w:tr w14:paraId="09F8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1" w:hRule="atLeast"/>
          <w:jc w:val="center"/>
        </w:trPr>
        <w:tc>
          <w:tcPr>
            <w:tcW w:w="1209" w:type="dxa"/>
            <w:vMerge w:val="continue"/>
            <w:noWrap w:val="0"/>
            <w:vAlign w:val="center"/>
          </w:tcPr>
          <w:p w14:paraId="2C4C56BA">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宋体" w:hAnsi="宋体" w:eastAsia="宋体" w:cs="宋体"/>
                <w:snapToGrid w:val="0"/>
                <w:kern w:val="0"/>
                <w:sz w:val="24"/>
                <w:szCs w:val="24"/>
                <w:highlight w:val="none"/>
              </w:rPr>
            </w:pPr>
          </w:p>
        </w:tc>
        <w:tc>
          <w:tcPr>
            <w:tcW w:w="2034" w:type="dxa"/>
            <w:noWrap w:val="0"/>
            <w:vAlign w:val="center"/>
          </w:tcPr>
          <w:p w14:paraId="0D5928D5">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配送及售后服务</w:t>
            </w:r>
          </w:p>
          <w:p w14:paraId="75DE5C6F">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6078" w:type="dxa"/>
            <w:noWrap w:val="0"/>
            <w:vAlign w:val="center"/>
          </w:tcPr>
          <w:p w14:paraId="18BA9E70">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宋体"/>
                <w:snapToGrid w:val="0"/>
                <w:kern w:val="0"/>
                <w:sz w:val="24"/>
                <w:szCs w:val="24"/>
                <w:highlight w:val="none"/>
              </w:rPr>
            </w:pPr>
            <w:r>
              <w:rPr>
                <w:rFonts w:hint="eastAsia" w:ascii="宋体" w:hAnsi="宋体" w:cs="宋体"/>
                <w:snapToGrid w:val="0"/>
                <w:kern w:val="0"/>
                <w:sz w:val="24"/>
                <w:szCs w:val="24"/>
                <w:highlight w:val="none"/>
                <w:lang w:val="en-US" w:eastAsia="zh-CN"/>
              </w:rPr>
              <w:t>1、</w:t>
            </w:r>
            <w:r>
              <w:rPr>
                <w:rFonts w:hint="eastAsia" w:ascii="宋体" w:hAnsi="宋体" w:eastAsia="宋体" w:cs="宋体"/>
                <w:snapToGrid w:val="0"/>
                <w:kern w:val="0"/>
                <w:sz w:val="24"/>
                <w:szCs w:val="24"/>
                <w:highlight w:val="none"/>
              </w:rPr>
              <w:t>货源渠道正常，制造厂家有可靠、完备的质量管理体系、足够的设计、工艺、加工、检验能力，质量符合国家的标准和有关规定，由评标委员会按评审优劣自主赋分（1～</w:t>
            </w:r>
            <w:r>
              <w:rPr>
                <w:rFonts w:hint="eastAsia" w:ascii="宋体" w:hAnsi="宋体" w:eastAsia="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分）</w:t>
            </w:r>
          </w:p>
          <w:p w14:paraId="7E94EF9D">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宋体"/>
                <w:snapToGrid w:val="0"/>
                <w:kern w:val="0"/>
                <w:sz w:val="24"/>
                <w:szCs w:val="24"/>
                <w:highlight w:val="none"/>
              </w:rPr>
            </w:pPr>
            <w:r>
              <w:rPr>
                <w:rFonts w:hint="eastAsia" w:ascii="宋体" w:hAnsi="宋体" w:cs="宋体"/>
                <w:snapToGrid w:val="0"/>
                <w:kern w:val="0"/>
                <w:sz w:val="24"/>
                <w:szCs w:val="24"/>
                <w:highlight w:val="none"/>
                <w:lang w:val="en-US" w:eastAsia="zh-CN"/>
              </w:rPr>
              <w:t>2、</w:t>
            </w:r>
            <w:r>
              <w:rPr>
                <w:rFonts w:hint="eastAsia" w:ascii="宋体" w:hAnsi="宋体" w:eastAsia="宋体" w:cs="宋体"/>
                <w:snapToGrid w:val="0"/>
                <w:kern w:val="0"/>
                <w:sz w:val="24"/>
                <w:szCs w:val="24"/>
                <w:highlight w:val="none"/>
              </w:rPr>
              <w:t>售后服务措施、响应时间、承诺及配送条款详细、合理、可行，能提供本地技术支持和服务，由评标委员会按评审优劣自主赋分（1～</w:t>
            </w:r>
            <w:r>
              <w:rPr>
                <w:rFonts w:hint="eastAsia" w:ascii="宋体" w:hAnsi="宋体" w:eastAsia="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分）</w:t>
            </w:r>
          </w:p>
          <w:p w14:paraId="052E04C4">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宋体"/>
                <w:snapToGrid w:val="0"/>
                <w:kern w:val="0"/>
                <w:sz w:val="24"/>
                <w:szCs w:val="24"/>
                <w:highlight w:val="none"/>
              </w:rPr>
            </w:pPr>
            <w:r>
              <w:rPr>
                <w:rFonts w:hint="eastAsia" w:ascii="宋体" w:hAnsi="宋体" w:cs="宋体"/>
                <w:snapToGrid w:val="0"/>
                <w:kern w:val="0"/>
                <w:sz w:val="24"/>
                <w:szCs w:val="24"/>
                <w:highlight w:val="none"/>
                <w:lang w:val="en-US" w:eastAsia="zh-CN"/>
              </w:rPr>
              <w:t>3、</w:t>
            </w:r>
            <w:r>
              <w:rPr>
                <w:rFonts w:hint="eastAsia" w:ascii="宋体" w:hAnsi="宋体" w:eastAsia="宋体" w:cs="宋体"/>
                <w:snapToGrid w:val="0"/>
                <w:kern w:val="0"/>
                <w:sz w:val="24"/>
                <w:szCs w:val="24"/>
                <w:highlight w:val="none"/>
              </w:rPr>
              <w:t>质保期满足</w:t>
            </w:r>
            <w:r>
              <w:rPr>
                <w:rFonts w:hint="eastAsia" w:ascii="宋体" w:hAnsi="宋体" w:eastAsia="宋体" w:cs="宋体"/>
                <w:snapToGrid w:val="0"/>
                <w:kern w:val="0"/>
                <w:sz w:val="24"/>
                <w:szCs w:val="24"/>
                <w:highlight w:val="none"/>
                <w:lang w:val="en-US" w:eastAsia="zh-CN"/>
              </w:rPr>
              <w:t>1</w:t>
            </w:r>
            <w:r>
              <w:rPr>
                <w:rFonts w:hint="eastAsia" w:ascii="宋体" w:hAnsi="宋体" w:eastAsia="宋体" w:cs="宋体"/>
                <w:snapToGrid w:val="0"/>
                <w:kern w:val="0"/>
                <w:sz w:val="24"/>
                <w:szCs w:val="24"/>
                <w:highlight w:val="none"/>
              </w:rPr>
              <w:t>年得1分，每增加1年加</w:t>
            </w:r>
            <w:r>
              <w:rPr>
                <w:rFonts w:hint="eastAsia" w:ascii="宋体" w:hAnsi="宋体" w:eastAsia="宋体" w:cs="宋体"/>
                <w:snapToGrid w:val="0"/>
                <w:kern w:val="0"/>
                <w:sz w:val="24"/>
                <w:szCs w:val="24"/>
                <w:highlight w:val="none"/>
                <w:lang w:val="en-US" w:eastAsia="zh-CN"/>
              </w:rPr>
              <w:t>1</w:t>
            </w:r>
            <w:r>
              <w:rPr>
                <w:rFonts w:hint="eastAsia" w:ascii="宋体" w:hAnsi="宋体" w:eastAsia="宋体" w:cs="宋体"/>
                <w:snapToGrid w:val="0"/>
                <w:kern w:val="0"/>
                <w:sz w:val="24"/>
                <w:szCs w:val="24"/>
                <w:highlight w:val="none"/>
              </w:rPr>
              <w:t>分，满分</w:t>
            </w:r>
            <w:r>
              <w:rPr>
                <w:rFonts w:hint="eastAsia" w:ascii="宋体" w:hAnsi="宋体" w:eastAsia="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分。</w:t>
            </w:r>
          </w:p>
        </w:tc>
      </w:tr>
    </w:tbl>
    <w:p w14:paraId="2A9BF7F1">
      <w:pPr>
        <w:pStyle w:val="2"/>
        <w:ind w:left="0" w:leftChars="0" w:firstLine="0" w:firstLineChars="0"/>
        <w:rPr>
          <w:rFonts w:hint="eastAsia"/>
          <w:highlight w:val="none"/>
        </w:rPr>
      </w:pPr>
    </w:p>
    <w:bookmarkEnd w:id="2"/>
    <w:bookmarkEnd w:id="3"/>
    <w:p w14:paraId="6FFA0A40">
      <w:pPr>
        <w:keepNext w:val="0"/>
        <w:keepLines w:val="0"/>
        <w:pageBreakBefore w:val="0"/>
        <w:kinsoku/>
        <w:wordWrap/>
        <w:overflowPunct/>
        <w:topLinePunct w:val="0"/>
        <w:bidi w:val="0"/>
        <w:spacing w:line="360" w:lineRule="auto"/>
        <w:ind w:left="0" w:leftChars="0"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4A93D0A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15" w:name="_Toc259455689"/>
      <w:bookmarkStart w:id="16" w:name="成交供货商候选人的确定标准"/>
      <w:bookmarkStart w:id="17" w:name="_Ref467307010"/>
      <w:bookmarkStart w:id="18" w:name="_Toc52035617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15"/>
      <w:bookmarkEnd w:id="16"/>
      <w:bookmarkEnd w:id="17"/>
      <w:bookmarkEnd w:id="18"/>
    </w:p>
    <w:p w14:paraId="2936FF5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14:paraId="5DC2897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eastAsia="宋体" w:cs="宋体"/>
          <w:sz w:val="24"/>
          <w:szCs w:val="24"/>
          <w:highlight w:val="none"/>
          <w:lang w:eastAsia="zh-CN"/>
        </w:rPr>
        <w:t>中标候选人</w:t>
      </w:r>
      <w:r>
        <w:rPr>
          <w:rFonts w:hint="eastAsia" w:ascii="宋体" w:hAnsi="宋体" w:eastAsia="宋体" w:cs="宋体"/>
          <w:sz w:val="24"/>
          <w:szCs w:val="24"/>
          <w:highlight w:val="none"/>
        </w:rPr>
        <w:t>。</w:t>
      </w:r>
    </w:p>
    <w:p w14:paraId="3D0D550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2266E95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14:paraId="6FA412A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14:paraId="31B9E7A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14:paraId="199E8F9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14:paraId="5C5A1700">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14:paraId="41D104A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14:paraId="22A0554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14:paraId="16E4534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3E8909B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25A43593">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评审结果确定中标候选人</w:t>
      </w:r>
      <w:r>
        <w:rPr>
          <w:rFonts w:hint="eastAsia" w:ascii="宋体" w:hAnsi="宋体" w:eastAsia="宋体" w:cs="宋体"/>
          <w:b/>
          <w:bCs/>
          <w:sz w:val="24"/>
          <w:szCs w:val="24"/>
          <w:highlight w:val="none"/>
          <w:lang w:eastAsia="zh-CN"/>
        </w:rPr>
        <w:t>，招标人不对投标人就招标结果做任何解释。</w:t>
      </w:r>
    </w:p>
    <w:p w14:paraId="60116C83">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p w14:paraId="7CAEBAE4">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6F40778F">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5EEB91BB">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6BE486BF">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rPr>
        <w:t>陕西中医药大学第二附属医院</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single"/>
        </w:rPr>
        <w:t>陕西省咸阳市渭阳西路5号</w:t>
      </w:r>
      <w:r>
        <w:rPr>
          <w:rFonts w:hint="eastAsia" w:ascii="宋体" w:hAnsi="宋体" w:eastAsia="宋体" w:cs="宋体"/>
          <w:sz w:val="24"/>
          <w:szCs w:val="24"/>
          <w:highlight w:val="none"/>
        </w:rPr>
        <w:t>，法定代表人为：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071B3362">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乙方：</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rPr>
        <w:t>其注册登记地址为：</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法定代表人为：</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p>
    <w:p w14:paraId="62073E2C">
      <w:pPr>
        <w:spacing w:line="360" w:lineRule="auto"/>
        <w:ind w:firstLine="420"/>
        <w:rPr>
          <w:rFonts w:hint="eastAsia" w:ascii="Times New Roman" w:hAnsi="Times New Roman"/>
          <w:sz w:val="24"/>
          <w:szCs w:val="24"/>
        </w:rPr>
      </w:pPr>
      <w:r>
        <w:rPr>
          <w:rFonts w:hint="eastAsia" w:ascii="宋体" w:hAnsi="宋体"/>
          <w:sz w:val="24"/>
          <w:szCs w:val="24"/>
        </w:rPr>
        <w:t>根据《中华人民共和国民法典》、《中华人民共和国招投标法》、《中华人民共和国质量管理法》及国家有关法规规定，结合本项目的具体情况，就甲方采购乙方家具的事宜，为明确责任，协作配合，确保供货质量，经双方协商一致，签订本合同，以兹共同遵守。</w:t>
      </w:r>
    </w:p>
    <w:p w14:paraId="415678D2">
      <w:pPr>
        <w:spacing w:line="360" w:lineRule="auto"/>
        <w:ind w:firstLine="420"/>
        <w:rPr>
          <w:rFonts w:hint="eastAsia" w:ascii="Times New Roman" w:hAnsi="Times New Roman" w:eastAsia="宋体"/>
          <w:b/>
          <w:bCs/>
          <w:sz w:val="24"/>
          <w:szCs w:val="24"/>
          <w:lang w:eastAsia="zh-CN"/>
        </w:rPr>
      </w:pPr>
      <w:r>
        <w:rPr>
          <w:rFonts w:hint="eastAsia" w:ascii="宋体" w:hAnsi="宋体"/>
          <w:b/>
          <w:bCs/>
          <w:sz w:val="24"/>
          <w:szCs w:val="24"/>
        </w:rPr>
        <w:t>一、家具名称、规格、数量、价格</w:t>
      </w:r>
      <w:r>
        <w:rPr>
          <w:rFonts w:hint="eastAsia" w:ascii="宋体" w:hAnsi="宋体"/>
          <w:b/>
          <w:bCs/>
          <w:sz w:val="24"/>
          <w:szCs w:val="24"/>
          <w:lang w:eastAsia="zh-CN"/>
        </w:rPr>
        <w:t>明细</w:t>
      </w:r>
    </w:p>
    <w:p w14:paraId="2B3B78EC">
      <w:pPr>
        <w:spacing w:line="360" w:lineRule="auto"/>
        <w:ind w:firstLine="420"/>
        <w:rPr>
          <w:rFonts w:hint="eastAsia" w:ascii="宋体" w:hAnsi="宋体"/>
          <w:sz w:val="24"/>
          <w:szCs w:val="24"/>
          <w:lang w:eastAsia="zh-CN"/>
        </w:rPr>
      </w:pPr>
      <w:r>
        <w:rPr>
          <w:rFonts w:hint="eastAsia" w:ascii="宋体" w:hAnsi="宋体"/>
          <w:sz w:val="24"/>
          <w:szCs w:val="24"/>
          <w:lang w:val="en-US" w:eastAsia="zh-CN"/>
        </w:rPr>
        <w:t>1、</w:t>
      </w:r>
      <w:r>
        <w:rPr>
          <w:rFonts w:hint="eastAsia" w:ascii="宋体" w:hAnsi="宋体"/>
          <w:sz w:val="24"/>
          <w:szCs w:val="24"/>
          <w:lang w:eastAsia="zh-CN"/>
        </w:rPr>
        <w:t>基础家具：</w:t>
      </w:r>
      <w:r>
        <w:rPr>
          <w:rFonts w:hint="eastAsia" w:ascii="宋体" w:hAnsi="宋体"/>
          <w:sz w:val="24"/>
          <w:szCs w:val="24"/>
        </w:rPr>
        <w:t>家具名称、规格、数量、价格明细表</w:t>
      </w:r>
      <w:r>
        <w:rPr>
          <w:rFonts w:hint="eastAsia" w:ascii="宋体" w:hAnsi="宋体"/>
          <w:sz w:val="24"/>
          <w:szCs w:val="24"/>
          <w:lang w:eastAsia="zh-CN"/>
        </w:rPr>
        <w:t>，</w:t>
      </w:r>
      <w:r>
        <w:rPr>
          <w:rFonts w:hint="eastAsia" w:ascii="宋体" w:hAnsi="宋体"/>
          <w:sz w:val="24"/>
          <w:szCs w:val="24"/>
        </w:rPr>
        <w:t>见附表</w:t>
      </w:r>
      <w:r>
        <w:rPr>
          <w:rFonts w:hint="eastAsia" w:ascii="Times New Roman" w:hAnsi="Times New Roman"/>
          <w:sz w:val="24"/>
          <w:szCs w:val="24"/>
        </w:rPr>
        <w:t>1</w:t>
      </w:r>
      <w:r>
        <w:rPr>
          <w:rFonts w:hint="eastAsia" w:ascii="宋体" w:hAnsi="宋体"/>
          <w:sz w:val="24"/>
          <w:szCs w:val="24"/>
        </w:rPr>
        <w:t>。</w:t>
      </w:r>
      <w:r>
        <w:rPr>
          <w:rFonts w:hint="eastAsia" w:ascii="宋体" w:hAnsi="宋体"/>
          <w:sz w:val="24"/>
          <w:szCs w:val="24"/>
          <w:lang w:eastAsia="zh-CN"/>
        </w:rPr>
        <w:t>按照合同价格，以轮转方式进行供货。</w:t>
      </w:r>
    </w:p>
    <w:p w14:paraId="71279589">
      <w:pPr>
        <w:spacing w:line="360" w:lineRule="auto"/>
        <w:ind w:firstLine="420"/>
        <w:rPr>
          <w:rFonts w:hint="default"/>
          <w:sz w:val="24"/>
          <w:szCs w:val="24"/>
          <w:lang w:val="en-US" w:eastAsia="zh-CN"/>
        </w:rPr>
      </w:pPr>
      <w:r>
        <w:rPr>
          <w:rFonts w:hint="eastAsia" w:ascii="宋体" w:hAnsi="宋体"/>
          <w:sz w:val="24"/>
          <w:szCs w:val="24"/>
          <w:lang w:val="en-US" w:eastAsia="zh-CN"/>
        </w:rPr>
        <w:t>2、非基础家具：科室申请预算在2万元及以下的非基础清单内家具，在遴选中标的三家单位中进行议价，以最低价中标单位承担具体科室非基础家具供货事宜。确定后双方就非基础家具价款、规格等内容签订工作联系函予以明确。</w:t>
      </w:r>
    </w:p>
    <w:p w14:paraId="7A37A33B">
      <w:pPr>
        <w:spacing w:line="360" w:lineRule="auto"/>
        <w:ind w:firstLine="420"/>
        <w:rPr>
          <w:rFonts w:hint="eastAsia" w:ascii="Times New Roman" w:hAnsi="Times New Roman"/>
          <w:b/>
          <w:bCs/>
          <w:sz w:val="24"/>
          <w:szCs w:val="24"/>
        </w:rPr>
      </w:pPr>
      <w:r>
        <w:rPr>
          <w:rFonts w:hint="eastAsia" w:ascii="宋体" w:hAnsi="宋体"/>
          <w:b/>
          <w:bCs/>
          <w:sz w:val="24"/>
          <w:szCs w:val="24"/>
        </w:rPr>
        <w:t>二、交货时间、交货地点及方式</w:t>
      </w:r>
    </w:p>
    <w:p w14:paraId="4737080D">
      <w:pPr>
        <w:spacing w:line="360" w:lineRule="auto"/>
        <w:ind w:left="210" w:leftChars="100" w:firstLine="240" w:firstLineChars="100"/>
        <w:rPr>
          <w:rFonts w:hint="eastAsia" w:ascii="Times New Roman" w:hAnsi="Times New Roman"/>
          <w:sz w:val="24"/>
          <w:szCs w:val="24"/>
        </w:rPr>
      </w:pPr>
      <w:r>
        <w:rPr>
          <w:rFonts w:hint="eastAsia" w:ascii="Times New Roman" w:hAnsi="Times New Roman"/>
          <w:sz w:val="24"/>
          <w:szCs w:val="24"/>
        </w:rPr>
        <w:t>1、合同时间：本合同有效期自合同生效之日起</w:t>
      </w:r>
      <w:r>
        <w:rPr>
          <w:rFonts w:hint="eastAsia" w:ascii="Times New Roman" w:hAnsi="Times New Roman"/>
          <w:sz w:val="24"/>
          <w:szCs w:val="24"/>
          <w:u w:val="single"/>
        </w:rPr>
        <w:t xml:space="preserve"> </w:t>
      </w:r>
      <w:r>
        <w:rPr>
          <w:rFonts w:hint="eastAsia"/>
          <w:sz w:val="24"/>
          <w:szCs w:val="24"/>
          <w:u w:val="single"/>
          <w:lang w:val="en-US" w:eastAsia="zh-CN"/>
        </w:rPr>
        <w:t>一</w:t>
      </w:r>
      <w:r>
        <w:rPr>
          <w:rFonts w:hint="eastAsia" w:ascii="Times New Roman" w:hAnsi="Times New Roman"/>
          <w:sz w:val="24"/>
          <w:szCs w:val="24"/>
          <w:u w:val="single"/>
        </w:rPr>
        <w:t xml:space="preserve"> </w:t>
      </w:r>
      <w:r>
        <w:rPr>
          <w:rFonts w:hint="eastAsia" w:ascii="Times New Roman" w:hAnsi="Times New Roman"/>
          <w:sz w:val="24"/>
          <w:szCs w:val="24"/>
        </w:rPr>
        <w:t>年，即</w:t>
      </w:r>
      <w:r>
        <w:rPr>
          <w:rFonts w:hint="eastAsia" w:ascii="Times New Roman" w:hAnsi="Times New Roman"/>
          <w:sz w:val="24"/>
          <w:szCs w:val="24"/>
          <w:u w:val="single"/>
        </w:rPr>
        <w:t xml:space="preserve">  </w:t>
      </w:r>
      <w:r>
        <w:rPr>
          <w:rFonts w:hint="eastAsia" w:ascii="Times New Roman" w:hAnsi="Times New Roman"/>
          <w:sz w:val="24"/>
          <w:szCs w:val="24"/>
        </w:rPr>
        <w:t>年</w:t>
      </w:r>
      <w:r>
        <w:rPr>
          <w:rFonts w:hint="eastAsia" w:ascii="Times New Roman" w:hAnsi="Times New Roman"/>
          <w:sz w:val="24"/>
          <w:szCs w:val="24"/>
          <w:u w:val="single"/>
          <w:lang w:val="en-US" w:eastAsia="zh-CN"/>
        </w:rPr>
        <w:t xml:space="preserve"> </w:t>
      </w:r>
      <w:r>
        <w:rPr>
          <w:rFonts w:hint="eastAsia" w:ascii="Times New Roman" w:hAnsi="Times New Roman"/>
          <w:sz w:val="24"/>
          <w:szCs w:val="24"/>
        </w:rPr>
        <w:t>月</w:t>
      </w:r>
      <w:r>
        <w:rPr>
          <w:rFonts w:hint="eastAsia" w:ascii="Times New Roman" w:hAnsi="Times New Roman"/>
          <w:sz w:val="24"/>
          <w:szCs w:val="24"/>
          <w:u w:val="single"/>
          <w:lang w:val="en-US" w:eastAsia="zh-CN"/>
        </w:rPr>
        <w:t xml:space="preserve">   </w:t>
      </w:r>
      <w:r>
        <w:rPr>
          <w:rFonts w:hint="eastAsia" w:ascii="Times New Roman" w:hAnsi="Times New Roman"/>
          <w:sz w:val="24"/>
          <w:szCs w:val="24"/>
        </w:rPr>
        <w:t>日至年月日止。合同期间内每次交货前货物毁损灭失的风险由乙方承担。</w:t>
      </w:r>
    </w:p>
    <w:p w14:paraId="6EF170FE">
      <w:pPr>
        <w:spacing w:line="360" w:lineRule="auto"/>
        <w:ind w:firstLine="420"/>
        <w:rPr>
          <w:rFonts w:hint="eastAsia" w:ascii="Times New Roman" w:hAnsi="Times New Roman"/>
          <w:sz w:val="24"/>
          <w:szCs w:val="24"/>
        </w:rPr>
      </w:pPr>
      <w:r>
        <w:rPr>
          <w:rFonts w:hint="eastAsia" w:ascii="Times New Roman" w:hAnsi="Times New Roman"/>
          <w:sz w:val="24"/>
          <w:szCs w:val="24"/>
        </w:rPr>
        <w:t>2</w:t>
      </w:r>
      <w:r>
        <w:rPr>
          <w:rFonts w:hint="eastAsia" w:ascii="宋体" w:hAnsi="宋体"/>
          <w:sz w:val="24"/>
          <w:szCs w:val="24"/>
        </w:rPr>
        <w:t>、交货地点：乙方运货到达甲方指定的地点后，甲方须派人与乙方人员按合同货物清单约定的内容现场清点、验收货物并双方签字确认。</w:t>
      </w:r>
    </w:p>
    <w:p w14:paraId="4843C588">
      <w:pPr>
        <w:spacing w:line="360" w:lineRule="auto"/>
        <w:ind w:firstLine="420"/>
        <w:rPr>
          <w:rFonts w:hint="eastAsia" w:ascii="Times New Roman" w:hAnsi="Times New Roman"/>
          <w:sz w:val="24"/>
          <w:szCs w:val="24"/>
        </w:rPr>
      </w:pPr>
      <w:r>
        <w:rPr>
          <w:rFonts w:hint="eastAsia" w:ascii="Times New Roman" w:hAnsi="Times New Roman"/>
          <w:sz w:val="24"/>
          <w:szCs w:val="24"/>
        </w:rPr>
        <w:t>3</w:t>
      </w:r>
      <w:r>
        <w:rPr>
          <w:rFonts w:hint="eastAsia" w:ascii="宋体" w:hAnsi="宋体"/>
          <w:sz w:val="24"/>
          <w:szCs w:val="24"/>
        </w:rPr>
        <w:t>、交货方式：乙方自行选择运输方式，确保可按期交货，由此产生的运输费、保险费、搬运费、包装费、保管费、调整修理费、税金等由乙方负责支付。在运输中所造成的包括但不限于损耗、损失或其他责任由乙方承担。</w:t>
      </w:r>
    </w:p>
    <w:p w14:paraId="4636B437">
      <w:pPr>
        <w:spacing w:line="360" w:lineRule="auto"/>
        <w:ind w:firstLine="420"/>
        <w:rPr>
          <w:rFonts w:hint="eastAsia" w:ascii="Times New Roman" w:hAnsi="Times New Roman"/>
          <w:sz w:val="24"/>
          <w:szCs w:val="24"/>
        </w:rPr>
      </w:pPr>
      <w:r>
        <w:rPr>
          <w:rFonts w:hint="eastAsia" w:ascii="Times New Roman" w:hAnsi="Times New Roman"/>
          <w:sz w:val="24"/>
          <w:szCs w:val="24"/>
        </w:rPr>
        <w:t>4</w:t>
      </w:r>
      <w:r>
        <w:rPr>
          <w:rFonts w:hint="eastAsia" w:ascii="宋体" w:hAnsi="宋体"/>
          <w:sz w:val="24"/>
          <w:szCs w:val="24"/>
        </w:rPr>
        <w:t>、本合同产品的包装由乙方负责</w:t>
      </w:r>
      <w:r>
        <w:rPr>
          <w:rFonts w:hint="eastAsia" w:ascii="Times New Roman" w:hAnsi="Times New Roman"/>
          <w:sz w:val="24"/>
          <w:szCs w:val="24"/>
          <w:lang w:eastAsia="zh-CN"/>
        </w:rPr>
        <w:t>，</w:t>
      </w:r>
      <w:r>
        <w:rPr>
          <w:rFonts w:hint="eastAsia" w:ascii="宋体" w:hAnsi="宋体"/>
          <w:sz w:val="24"/>
          <w:szCs w:val="24"/>
        </w:rPr>
        <w:t>包装应当符合产品运输条件和产品本身的要求，确保其可适应于远距离运输、防潮、防震、防锈和防野蛮装卸，由此产生的费用由乙方承担。</w:t>
      </w:r>
    </w:p>
    <w:p w14:paraId="637F16E4">
      <w:pPr>
        <w:spacing w:line="360" w:lineRule="auto"/>
        <w:ind w:firstLine="420"/>
        <w:rPr>
          <w:rFonts w:hint="eastAsia" w:ascii="Times New Roman" w:hAnsi="Times New Roman"/>
          <w:b/>
          <w:bCs/>
          <w:sz w:val="24"/>
          <w:szCs w:val="24"/>
        </w:rPr>
      </w:pPr>
      <w:r>
        <w:rPr>
          <w:rFonts w:hint="eastAsia" w:ascii="宋体" w:hAnsi="宋体"/>
          <w:b/>
          <w:bCs/>
          <w:sz w:val="24"/>
          <w:szCs w:val="24"/>
        </w:rPr>
        <w:t>三、合同价款</w:t>
      </w:r>
    </w:p>
    <w:p w14:paraId="4F727816">
      <w:pPr>
        <w:spacing w:line="360" w:lineRule="auto"/>
        <w:ind w:firstLine="420"/>
        <w:rPr>
          <w:rFonts w:hint="eastAsia" w:ascii="Times New Roman" w:hAnsi="Times New Roman"/>
          <w:sz w:val="24"/>
          <w:szCs w:val="24"/>
        </w:rPr>
      </w:pPr>
      <w:r>
        <w:rPr>
          <w:rFonts w:hint="eastAsia" w:ascii="Times New Roman" w:hAnsi="Times New Roman"/>
          <w:sz w:val="24"/>
          <w:szCs w:val="24"/>
        </w:rPr>
        <w:t>1</w:t>
      </w:r>
      <w:r>
        <w:rPr>
          <w:rFonts w:hint="eastAsia" w:ascii="宋体" w:hAnsi="宋体"/>
          <w:sz w:val="24"/>
          <w:szCs w:val="24"/>
        </w:rPr>
        <w:t>、</w:t>
      </w:r>
      <w:r>
        <w:rPr>
          <w:rFonts w:hint="eastAsia" w:ascii="宋体" w:hAnsi="宋体"/>
          <w:sz w:val="24"/>
          <w:szCs w:val="24"/>
          <w:lang w:eastAsia="zh-CN"/>
        </w:rPr>
        <w:t>本</w:t>
      </w:r>
      <w:r>
        <w:rPr>
          <w:rFonts w:hint="eastAsia" w:ascii="宋体" w:hAnsi="宋体"/>
          <w:sz w:val="24"/>
          <w:szCs w:val="24"/>
        </w:rPr>
        <w:t>合同</w:t>
      </w:r>
      <w:r>
        <w:rPr>
          <w:rFonts w:hint="eastAsia" w:ascii="宋体" w:hAnsi="宋体"/>
          <w:sz w:val="24"/>
          <w:szCs w:val="24"/>
          <w:lang w:eastAsia="zh-CN"/>
        </w:rPr>
        <w:t>基础家具</w:t>
      </w:r>
      <w:r>
        <w:rPr>
          <w:rFonts w:hint="eastAsia" w:ascii="宋体" w:hAnsi="宋体"/>
          <w:sz w:val="24"/>
          <w:szCs w:val="24"/>
        </w:rPr>
        <w:t>单价为固定单价，不受市场价变化的影响，不受实际工作量变化的影响。包含了家具深化设计、材料、制作、油漆、采购保管、运输（含运杂费、装卸费、保险费等）、安装、利润、税金、政府管理部门收取的质量检验费用、总包管理服务费、就位费等以及质保期内维保费用和相关技术服务等乙方完成本合同全部义务所需的的全部包干费用。</w:t>
      </w:r>
    </w:p>
    <w:p w14:paraId="79591042">
      <w:pPr>
        <w:spacing w:line="360" w:lineRule="auto"/>
        <w:ind w:firstLine="420"/>
        <w:rPr>
          <w:rFonts w:hint="eastAsia" w:ascii="Times New Roman" w:hAnsi="Times New Roman"/>
          <w:sz w:val="24"/>
          <w:szCs w:val="24"/>
        </w:rPr>
      </w:pPr>
      <w:r>
        <w:rPr>
          <w:rFonts w:hint="eastAsia" w:ascii="宋体" w:hAnsi="宋体"/>
          <w:sz w:val="24"/>
          <w:szCs w:val="24"/>
          <w:lang w:val="en-US" w:eastAsia="zh-CN"/>
        </w:rPr>
        <w:t>2、基础家具</w:t>
      </w:r>
      <w:r>
        <w:rPr>
          <w:rFonts w:hint="eastAsia" w:ascii="宋体" w:hAnsi="宋体"/>
          <w:sz w:val="24"/>
          <w:szCs w:val="24"/>
        </w:rPr>
        <w:t>最终结算价款以甲方确认的实际供货验收合格数量结合固定单价据实结算。</w:t>
      </w:r>
      <w:r>
        <w:rPr>
          <w:rFonts w:hint="eastAsia" w:ascii="宋体" w:hAnsi="宋体"/>
          <w:sz w:val="24"/>
          <w:szCs w:val="24"/>
          <w:lang w:eastAsia="zh-CN"/>
        </w:rPr>
        <w:t>非基础家具以乙方</w:t>
      </w:r>
      <w:r>
        <w:rPr>
          <w:rFonts w:hint="eastAsia" w:ascii="宋体" w:hAnsi="宋体"/>
          <w:sz w:val="24"/>
          <w:szCs w:val="24"/>
        </w:rPr>
        <w:t xml:space="preserve">完成工作联系函所列全部内容后交由甲方进行验收，乙方持工作联系函、验收单、等额合规发票与甲方办理结算手续。 </w:t>
      </w:r>
    </w:p>
    <w:p w14:paraId="16DA7D6F">
      <w:pPr>
        <w:spacing w:line="360" w:lineRule="auto"/>
        <w:ind w:firstLine="420"/>
        <w:rPr>
          <w:rFonts w:hint="eastAsia" w:ascii="Times New Roman" w:hAnsi="Times New Roman"/>
          <w:b/>
          <w:bCs/>
          <w:sz w:val="24"/>
          <w:szCs w:val="24"/>
        </w:rPr>
      </w:pPr>
      <w:r>
        <w:rPr>
          <w:rFonts w:hint="eastAsia" w:ascii="宋体" w:hAnsi="宋体"/>
          <w:b/>
          <w:bCs/>
          <w:sz w:val="24"/>
          <w:szCs w:val="24"/>
        </w:rPr>
        <w:t>四、合同价款的结算和支付</w:t>
      </w:r>
    </w:p>
    <w:p w14:paraId="0E8E9C5F">
      <w:pPr>
        <w:spacing w:line="360" w:lineRule="auto"/>
        <w:ind w:firstLine="420"/>
        <w:rPr>
          <w:rFonts w:hint="eastAsia" w:ascii="Times New Roman" w:hAnsi="Times New Roman"/>
          <w:sz w:val="24"/>
          <w:szCs w:val="24"/>
        </w:rPr>
      </w:pPr>
      <w:r>
        <w:rPr>
          <w:rFonts w:hint="eastAsia" w:ascii="Times New Roman" w:hAnsi="Times New Roman"/>
          <w:sz w:val="24"/>
          <w:szCs w:val="24"/>
        </w:rPr>
        <w:t>1</w:t>
      </w:r>
      <w:r>
        <w:rPr>
          <w:rFonts w:hint="eastAsia" w:ascii="宋体" w:hAnsi="宋体"/>
          <w:sz w:val="24"/>
          <w:szCs w:val="24"/>
        </w:rPr>
        <w:t>、结算方式：甲方验收合格后，乙方持发票、货物验收单与甲方办理结算。甲方付款前，乙方未按照甲方要求提供合规发票的，甲方有权拒付货款且不承担任何责任。</w:t>
      </w:r>
    </w:p>
    <w:p w14:paraId="0B67A5F5">
      <w:pPr>
        <w:spacing w:line="360" w:lineRule="auto"/>
        <w:ind w:firstLine="420"/>
        <w:rPr>
          <w:rFonts w:ascii="Times New Roman" w:hAnsi="Times New Roman"/>
          <w:sz w:val="24"/>
          <w:szCs w:val="24"/>
        </w:rPr>
      </w:pPr>
      <w:r>
        <w:rPr>
          <w:rFonts w:hint="eastAsia" w:ascii="Times New Roman" w:hAnsi="Times New Roman"/>
          <w:sz w:val="24"/>
          <w:szCs w:val="24"/>
        </w:rPr>
        <w:t>2</w:t>
      </w:r>
      <w:r>
        <w:rPr>
          <w:rFonts w:hint="eastAsia" w:ascii="宋体" w:hAnsi="宋体"/>
          <w:sz w:val="24"/>
          <w:szCs w:val="24"/>
        </w:rPr>
        <w:t>、付款方式：</w:t>
      </w:r>
      <w:r>
        <w:rPr>
          <w:rFonts w:hint="eastAsia" w:ascii="宋体" w:hAnsi="宋体"/>
          <w:sz w:val="24"/>
          <w:szCs w:val="24"/>
          <w:lang w:eastAsia="zh-CN"/>
        </w:rPr>
        <w:t>按季度结算本季度</w:t>
      </w:r>
      <w:r>
        <w:rPr>
          <w:rFonts w:hint="eastAsia" w:ascii="宋体" w:hAnsi="宋体"/>
          <w:sz w:val="24"/>
          <w:szCs w:val="24"/>
        </w:rPr>
        <w:t>到场安装调试验收合格</w:t>
      </w:r>
      <w:r>
        <w:rPr>
          <w:rFonts w:hint="eastAsia" w:ascii="宋体" w:hAnsi="宋体"/>
          <w:sz w:val="24"/>
          <w:szCs w:val="24"/>
          <w:lang w:eastAsia="zh-CN"/>
        </w:rPr>
        <w:t>的</w:t>
      </w:r>
      <w:r>
        <w:rPr>
          <w:rFonts w:hint="eastAsia" w:ascii="宋体" w:hAnsi="宋体"/>
          <w:sz w:val="24"/>
          <w:szCs w:val="24"/>
        </w:rPr>
        <w:t>货物货款。</w:t>
      </w:r>
    </w:p>
    <w:p w14:paraId="09DB7D39">
      <w:pPr>
        <w:spacing w:line="360" w:lineRule="auto"/>
        <w:ind w:firstLine="420"/>
        <w:rPr>
          <w:rFonts w:hint="eastAsia" w:ascii="Times New Roman" w:hAnsi="Times New Roman"/>
          <w:sz w:val="24"/>
          <w:szCs w:val="24"/>
        </w:rPr>
      </w:pPr>
      <w:r>
        <w:rPr>
          <w:rFonts w:hint="eastAsia" w:ascii="Times New Roman" w:hAnsi="Times New Roman"/>
          <w:sz w:val="24"/>
          <w:szCs w:val="24"/>
        </w:rPr>
        <w:t>3</w:t>
      </w:r>
      <w:r>
        <w:rPr>
          <w:rFonts w:hint="eastAsia" w:ascii="宋体" w:hAnsi="宋体"/>
          <w:sz w:val="24"/>
          <w:szCs w:val="24"/>
        </w:rPr>
        <w:t>、乙方相关信息：账户名：</w:t>
      </w:r>
      <w:r>
        <w:rPr>
          <w:rFonts w:hint="eastAsia" w:ascii="Times New Roman" w:hAnsi="Times New Roman"/>
          <w:sz w:val="24"/>
          <w:szCs w:val="24"/>
          <w:u w:val="single"/>
        </w:rPr>
        <w:t xml:space="preserve">     </w:t>
      </w:r>
      <w:r>
        <w:rPr>
          <w:rFonts w:hint="eastAsia" w:ascii="宋体" w:hAnsi="宋体"/>
          <w:sz w:val="24"/>
          <w:szCs w:val="24"/>
        </w:rPr>
        <w:t>，开户行：</w:t>
      </w:r>
      <w:r>
        <w:rPr>
          <w:rFonts w:hint="eastAsia" w:ascii="Times New Roman" w:hAnsi="Times New Roman"/>
          <w:sz w:val="24"/>
          <w:szCs w:val="24"/>
          <w:u w:val="single"/>
        </w:rPr>
        <w:t xml:space="preserve">       </w:t>
      </w:r>
      <w:r>
        <w:rPr>
          <w:rFonts w:hint="eastAsia" w:ascii="宋体" w:hAnsi="宋体"/>
          <w:sz w:val="24"/>
          <w:szCs w:val="24"/>
        </w:rPr>
        <w:t>，账号：</w:t>
      </w:r>
      <w:r>
        <w:rPr>
          <w:rFonts w:hint="eastAsia" w:ascii="Times New Roman" w:hAnsi="Times New Roman"/>
          <w:sz w:val="24"/>
          <w:szCs w:val="24"/>
          <w:u w:val="single"/>
        </w:rPr>
        <w:t xml:space="preserve">        </w:t>
      </w:r>
      <w:r>
        <w:rPr>
          <w:rFonts w:hint="eastAsia" w:ascii="宋体" w:hAnsi="宋体"/>
          <w:sz w:val="24"/>
          <w:szCs w:val="24"/>
        </w:rPr>
        <w:t>。合同履行期间，乙方账户信息发生变更时，乙方需在变更事项发生后的</w:t>
      </w:r>
      <w:r>
        <w:rPr>
          <w:rFonts w:hint="eastAsia" w:ascii="宋体" w:hAnsi="宋体"/>
          <w:sz w:val="24"/>
          <w:szCs w:val="24"/>
          <w:lang w:val="en-US" w:eastAsia="zh-CN"/>
        </w:rPr>
        <w:t>15</w:t>
      </w:r>
      <w:r>
        <w:rPr>
          <w:rFonts w:hint="eastAsia" w:ascii="宋体" w:hAnsi="宋体"/>
          <w:sz w:val="24"/>
          <w:szCs w:val="24"/>
        </w:rPr>
        <w:t>日内书面告知甲方，否则由此产生的不利后果由乙方全部承担。</w:t>
      </w:r>
    </w:p>
    <w:p w14:paraId="08576727">
      <w:pPr>
        <w:spacing w:line="360" w:lineRule="auto"/>
        <w:ind w:firstLine="420"/>
        <w:rPr>
          <w:rFonts w:ascii="Times New Roman" w:hAnsi="Times New Roman"/>
          <w:b/>
          <w:bCs/>
          <w:sz w:val="24"/>
          <w:szCs w:val="24"/>
        </w:rPr>
      </w:pPr>
      <w:r>
        <w:rPr>
          <w:rFonts w:hint="eastAsia" w:ascii="宋体" w:hAnsi="宋体"/>
          <w:b/>
          <w:bCs/>
          <w:sz w:val="24"/>
          <w:szCs w:val="24"/>
        </w:rPr>
        <w:t>五、技术标准、技术资料</w:t>
      </w:r>
    </w:p>
    <w:p w14:paraId="75D5D09B">
      <w:pPr>
        <w:spacing w:line="360" w:lineRule="auto"/>
        <w:ind w:firstLine="420"/>
        <w:rPr>
          <w:rFonts w:hint="eastAsia" w:ascii="Times New Roman" w:hAnsi="Times New Roman"/>
          <w:sz w:val="24"/>
          <w:szCs w:val="24"/>
        </w:rPr>
      </w:pPr>
      <w:r>
        <w:rPr>
          <w:rFonts w:hint="eastAsia" w:ascii="Times New Roman" w:hAnsi="Times New Roman"/>
          <w:sz w:val="24"/>
          <w:szCs w:val="24"/>
        </w:rPr>
        <w:t>1</w:t>
      </w:r>
      <w:r>
        <w:rPr>
          <w:rFonts w:hint="eastAsia" w:ascii="宋体" w:hAnsi="宋体"/>
          <w:sz w:val="24"/>
          <w:szCs w:val="24"/>
        </w:rPr>
        <w:t>、乙方所供家具需为全新产品，供货的配置必须符合招标和投标标书要求，产品的规格、型号、材质、色泽、质量、环保标准必须符合国家相关行业规范，否则视为乙方未完成交货义务。</w:t>
      </w:r>
    </w:p>
    <w:p w14:paraId="155733D8">
      <w:pPr>
        <w:spacing w:line="360" w:lineRule="auto"/>
        <w:ind w:firstLine="420"/>
        <w:rPr>
          <w:rFonts w:hint="eastAsia" w:ascii="Times New Roman" w:hAnsi="Times New Roman"/>
          <w:sz w:val="24"/>
          <w:szCs w:val="24"/>
        </w:rPr>
      </w:pPr>
      <w:r>
        <w:rPr>
          <w:rFonts w:hint="eastAsia" w:ascii="Times New Roman" w:hAnsi="Times New Roman"/>
          <w:sz w:val="24"/>
          <w:szCs w:val="24"/>
        </w:rPr>
        <w:t>2</w:t>
      </w:r>
      <w:r>
        <w:rPr>
          <w:rFonts w:hint="eastAsia" w:ascii="宋体" w:hAnsi="宋体"/>
          <w:sz w:val="24"/>
          <w:szCs w:val="24"/>
        </w:rPr>
        <w:t>、若产品存在因所用原材料或加工工艺造成的质量检验和内外观缺陷问题，甲方有权拒收该类不合格产品，乙方需按照合同约定及招、投标文件要求另行提供合格产品并承担因此产生的各项费用，交货期不顺延。</w:t>
      </w:r>
    </w:p>
    <w:p w14:paraId="20C507D6">
      <w:pPr>
        <w:spacing w:line="360" w:lineRule="auto"/>
        <w:ind w:firstLine="420"/>
        <w:rPr>
          <w:rFonts w:hint="eastAsia" w:ascii="Times New Roman" w:hAnsi="Times New Roman"/>
          <w:sz w:val="24"/>
          <w:szCs w:val="24"/>
        </w:rPr>
      </w:pPr>
      <w:r>
        <w:rPr>
          <w:rFonts w:hint="eastAsia" w:ascii="Times New Roman" w:hAnsi="Times New Roman"/>
          <w:sz w:val="24"/>
          <w:szCs w:val="24"/>
        </w:rPr>
        <w:t>3</w:t>
      </w:r>
      <w:r>
        <w:rPr>
          <w:rFonts w:hint="eastAsia" w:ascii="宋体" w:hAnsi="宋体"/>
          <w:sz w:val="24"/>
          <w:szCs w:val="24"/>
        </w:rPr>
        <w:t>、技术资料：</w:t>
      </w:r>
    </w:p>
    <w:p w14:paraId="3021F754">
      <w:pPr>
        <w:autoSpaceDE w:val="0"/>
        <w:spacing w:line="360" w:lineRule="auto"/>
        <w:ind w:firstLine="480" w:firstLineChars="200"/>
        <w:rPr>
          <w:rFonts w:hint="eastAsia" w:ascii="Times New Roman" w:hAnsi="Times New Roman"/>
          <w:sz w:val="24"/>
          <w:szCs w:val="24"/>
        </w:rPr>
      </w:pPr>
      <w:r>
        <w:rPr>
          <w:rFonts w:hint="eastAsia" w:ascii="宋体" w:hAnsi="宋体"/>
          <w:sz w:val="24"/>
          <w:szCs w:val="24"/>
        </w:rPr>
        <w:t>（</w:t>
      </w:r>
      <w:r>
        <w:rPr>
          <w:rFonts w:hint="eastAsia" w:ascii="Times New Roman" w:hAnsi="Times New Roman"/>
          <w:sz w:val="24"/>
          <w:szCs w:val="24"/>
        </w:rPr>
        <w:t>1</w:t>
      </w:r>
      <w:r>
        <w:rPr>
          <w:rFonts w:hint="eastAsia" w:ascii="宋体" w:hAnsi="宋体"/>
          <w:sz w:val="24"/>
          <w:szCs w:val="24"/>
        </w:rPr>
        <w:t>）乙方应在安装前，向甲方提供合同范围内的所涉及的所有需要检测产品的检测报告、合格证等有关资料。</w:t>
      </w:r>
    </w:p>
    <w:p w14:paraId="5940BD30">
      <w:pPr>
        <w:autoSpaceDE w:val="0"/>
        <w:spacing w:line="360" w:lineRule="auto"/>
        <w:ind w:firstLine="480" w:firstLineChars="200"/>
        <w:rPr>
          <w:rFonts w:hint="eastAsia" w:ascii="Times New Roman" w:hAnsi="Times New Roman"/>
          <w:sz w:val="24"/>
          <w:szCs w:val="24"/>
        </w:rPr>
      </w:pPr>
      <w:r>
        <w:rPr>
          <w:rFonts w:hint="eastAsia" w:ascii="宋体" w:hAnsi="宋体"/>
          <w:sz w:val="24"/>
          <w:szCs w:val="24"/>
        </w:rPr>
        <w:t>（</w:t>
      </w:r>
      <w:r>
        <w:rPr>
          <w:rFonts w:hint="eastAsia" w:ascii="Times New Roman" w:hAnsi="Times New Roman"/>
          <w:sz w:val="24"/>
          <w:szCs w:val="24"/>
        </w:rPr>
        <w:t>2</w:t>
      </w:r>
      <w:r>
        <w:rPr>
          <w:rFonts w:hint="eastAsia" w:ascii="宋体" w:hAnsi="宋体"/>
          <w:sz w:val="24"/>
          <w:szCs w:val="24"/>
        </w:rPr>
        <w:t>）安装验收合格后</w:t>
      </w:r>
      <w:r>
        <w:rPr>
          <w:rFonts w:hint="eastAsia" w:ascii="Times New Roman" w:hAnsi="Times New Roman"/>
          <w:sz w:val="24"/>
          <w:szCs w:val="24"/>
        </w:rPr>
        <w:t>10</w:t>
      </w:r>
      <w:r>
        <w:rPr>
          <w:rFonts w:hint="eastAsia" w:ascii="宋体" w:hAnsi="宋体"/>
          <w:sz w:val="24"/>
          <w:szCs w:val="24"/>
        </w:rPr>
        <w:t>日后，乙方应将</w:t>
      </w:r>
      <w:r>
        <w:rPr>
          <w:rFonts w:hint="eastAsia" w:ascii="宋体" w:hAnsi="宋体"/>
          <w:sz w:val="24"/>
          <w:szCs w:val="24"/>
          <w:lang w:eastAsia="zh-CN"/>
        </w:rPr>
        <w:t>相关国家</w:t>
      </w:r>
      <w:r>
        <w:rPr>
          <w:rFonts w:hint="eastAsia" w:ascii="宋体" w:hAnsi="宋体"/>
          <w:sz w:val="24"/>
          <w:szCs w:val="24"/>
        </w:rPr>
        <w:t>规范中要求提供的技术资料提交给甲方。</w:t>
      </w:r>
    </w:p>
    <w:p w14:paraId="7F95590D">
      <w:pPr>
        <w:autoSpaceDE w:val="0"/>
        <w:spacing w:line="360" w:lineRule="auto"/>
        <w:ind w:firstLine="480" w:firstLineChars="200"/>
        <w:rPr>
          <w:rFonts w:hint="eastAsia" w:ascii="Times New Roman" w:hAnsi="Times New Roman"/>
          <w:sz w:val="24"/>
          <w:szCs w:val="24"/>
        </w:rPr>
      </w:pPr>
      <w:r>
        <w:rPr>
          <w:rFonts w:hint="eastAsia" w:ascii="宋体" w:hAnsi="宋体"/>
          <w:sz w:val="24"/>
          <w:szCs w:val="24"/>
        </w:rPr>
        <w:t>（</w:t>
      </w:r>
      <w:r>
        <w:rPr>
          <w:rFonts w:hint="eastAsia" w:ascii="Times New Roman" w:hAnsi="Times New Roman"/>
          <w:sz w:val="24"/>
          <w:szCs w:val="24"/>
        </w:rPr>
        <w:t>3</w:t>
      </w:r>
      <w:r>
        <w:rPr>
          <w:rFonts w:hint="eastAsia" w:ascii="宋体" w:hAnsi="宋体"/>
          <w:sz w:val="24"/>
          <w:szCs w:val="24"/>
        </w:rPr>
        <w:t>）乙方在履行合同同时有义务提供以下技术文件（包含但不限于以下）：</w:t>
      </w:r>
    </w:p>
    <w:p w14:paraId="72AA5598">
      <w:pPr>
        <w:spacing w:line="360" w:lineRule="auto"/>
        <w:ind w:firstLine="420"/>
        <w:rPr>
          <w:rFonts w:hint="eastAsia" w:ascii="Times New Roman" w:hAnsi="Times New Roman"/>
          <w:sz w:val="24"/>
          <w:szCs w:val="24"/>
        </w:rPr>
      </w:pPr>
      <w:r>
        <w:rPr>
          <w:rFonts w:hint="eastAsia" w:ascii="宋体" w:hAnsi="宋体"/>
          <w:sz w:val="24"/>
          <w:szCs w:val="24"/>
        </w:rPr>
        <w:t>①装箱清单，备品备件清单；</w:t>
      </w:r>
    </w:p>
    <w:p w14:paraId="25B88F20">
      <w:pPr>
        <w:spacing w:line="360" w:lineRule="auto"/>
        <w:ind w:firstLine="420"/>
        <w:rPr>
          <w:rFonts w:hint="eastAsia" w:ascii="Times New Roman" w:hAnsi="Times New Roman"/>
          <w:sz w:val="24"/>
          <w:szCs w:val="24"/>
        </w:rPr>
      </w:pPr>
      <w:r>
        <w:rPr>
          <w:rFonts w:hint="eastAsia" w:ascii="宋体" w:hAnsi="宋体"/>
          <w:sz w:val="24"/>
          <w:szCs w:val="24"/>
        </w:rPr>
        <w:t>②产品检验合格证</w:t>
      </w:r>
    </w:p>
    <w:p w14:paraId="63E896C2">
      <w:pPr>
        <w:spacing w:line="360" w:lineRule="auto"/>
        <w:ind w:firstLine="420"/>
        <w:rPr>
          <w:rFonts w:hint="eastAsia" w:ascii="Times New Roman" w:hAnsi="Times New Roman"/>
          <w:sz w:val="24"/>
          <w:szCs w:val="24"/>
        </w:rPr>
      </w:pPr>
      <w:r>
        <w:rPr>
          <w:rFonts w:hint="eastAsia" w:ascii="宋体" w:hAnsi="宋体"/>
          <w:sz w:val="24"/>
          <w:szCs w:val="24"/>
        </w:rPr>
        <w:t>③主要部件的实验合格证</w:t>
      </w:r>
    </w:p>
    <w:p w14:paraId="7B27462E">
      <w:pPr>
        <w:spacing w:line="360" w:lineRule="auto"/>
        <w:ind w:firstLine="420"/>
        <w:rPr>
          <w:rFonts w:hint="eastAsia" w:ascii="Times New Roman" w:hAnsi="Times New Roman"/>
          <w:sz w:val="24"/>
          <w:szCs w:val="24"/>
        </w:rPr>
      </w:pPr>
      <w:r>
        <w:rPr>
          <w:rFonts w:hint="eastAsia" w:ascii="宋体" w:hAnsi="宋体"/>
          <w:sz w:val="24"/>
          <w:szCs w:val="24"/>
        </w:rPr>
        <w:t>④安装、使用说明书</w:t>
      </w:r>
    </w:p>
    <w:p w14:paraId="25E567A2">
      <w:pPr>
        <w:spacing w:line="360" w:lineRule="auto"/>
        <w:ind w:firstLine="420"/>
        <w:rPr>
          <w:rFonts w:hint="eastAsia" w:ascii="Times New Roman" w:hAnsi="Times New Roman"/>
          <w:sz w:val="24"/>
          <w:szCs w:val="24"/>
        </w:rPr>
      </w:pPr>
      <w:r>
        <w:rPr>
          <w:rFonts w:hint="eastAsia" w:ascii="宋体" w:hAnsi="宋体"/>
          <w:sz w:val="24"/>
          <w:szCs w:val="24"/>
        </w:rPr>
        <w:t>⑤调试记录，验收说明书</w:t>
      </w:r>
      <w:r>
        <w:rPr>
          <w:rFonts w:hint="eastAsia" w:ascii="Times New Roman" w:hAnsi="Times New Roman"/>
          <w:sz w:val="24"/>
          <w:szCs w:val="24"/>
        </w:rPr>
        <w:t>(</w:t>
      </w:r>
      <w:r>
        <w:rPr>
          <w:rFonts w:hint="eastAsia" w:ascii="宋体" w:hAnsi="宋体"/>
          <w:sz w:val="24"/>
          <w:szCs w:val="24"/>
        </w:rPr>
        <w:t>调试完毕后提供</w:t>
      </w:r>
      <w:r>
        <w:rPr>
          <w:rFonts w:hint="eastAsia" w:ascii="Times New Roman" w:hAnsi="Times New Roman"/>
          <w:sz w:val="24"/>
          <w:szCs w:val="24"/>
        </w:rPr>
        <w:t>)</w:t>
      </w:r>
    </w:p>
    <w:p w14:paraId="57F40737">
      <w:pPr>
        <w:spacing w:line="360" w:lineRule="auto"/>
        <w:ind w:firstLine="420"/>
        <w:rPr>
          <w:rFonts w:hint="eastAsia" w:ascii="Times New Roman" w:hAnsi="Times New Roman"/>
          <w:sz w:val="24"/>
          <w:szCs w:val="24"/>
        </w:rPr>
      </w:pPr>
      <w:r>
        <w:rPr>
          <w:rFonts w:hint="eastAsia" w:ascii="宋体" w:hAnsi="宋体"/>
          <w:sz w:val="24"/>
          <w:szCs w:val="24"/>
        </w:rPr>
        <w:t>⑥安装符合国家及行业相关规范要求</w:t>
      </w:r>
    </w:p>
    <w:p w14:paraId="2CE9AB61">
      <w:pPr>
        <w:spacing w:line="360" w:lineRule="auto"/>
        <w:ind w:firstLine="420"/>
        <w:rPr>
          <w:rFonts w:hint="eastAsia" w:ascii="Times New Roman" w:hAnsi="Times New Roman"/>
          <w:b/>
          <w:bCs/>
          <w:sz w:val="24"/>
          <w:szCs w:val="24"/>
        </w:rPr>
      </w:pPr>
      <w:r>
        <w:rPr>
          <w:rFonts w:hint="eastAsia" w:ascii="宋体" w:hAnsi="宋体"/>
          <w:b/>
          <w:bCs/>
          <w:sz w:val="24"/>
          <w:szCs w:val="24"/>
        </w:rPr>
        <w:t>六、验收与保管</w:t>
      </w:r>
    </w:p>
    <w:p w14:paraId="7E589175">
      <w:pPr>
        <w:spacing w:line="360" w:lineRule="auto"/>
        <w:ind w:firstLine="420"/>
        <w:rPr>
          <w:rFonts w:hint="eastAsia" w:ascii="Times New Roman" w:hAnsi="Times New Roman"/>
          <w:sz w:val="24"/>
          <w:szCs w:val="24"/>
        </w:rPr>
      </w:pPr>
      <w:r>
        <w:rPr>
          <w:rFonts w:hint="eastAsia" w:ascii="Times New Roman" w:hAnsi="Times New Roman"/>
          <w:sz w:val="24"/>
          <w:szCs w:val="24"/>
        </w:rPr>
        <w:t>1</w:t>
      </w:r>
      <w:r>
        <w:rPr>
          <w:rFonts w:hint="eastAsia" w:ascii="宋体" w:hAnsi="宋体"/>
          <w:sz w:val="24"/>
          <w:szCs w:val="24"/>
        </w:rPr>
        <w:t>、到货验收：</w:t>
      </w:r>
    </w:p>
    <w:p w14:paraId="0EC3E556">
      <w:pPr>
        <w:spacing w:line="360" w:lineRule="auto"/>
        <w:ind w:firstLine="420"/>
        <w:rPr>
          <w:rFonts w:hint="eastAsia" w:ascii="Times New Roman" w:hAnsi="Times New Roman"/>
          <w:sz w:val="24"/>
          <w:szCs w:val="24"/>
        </w:rPr>
      </w:pPr>
      <w:r>
        <w:rPr>
          <w:rFonts w:hint="eastAsia" w:ascii="宋体" w:hAnsi="宋体"/>
          <w:sz w:val="24"/>
          <w:szCs w:val="24"/>
        </w:rPr>
        <w:t>（</w:t>
      </w:r>
      <w:r>
        <w:rPr>
          <w:rFonts w:hint="eastAsia" w:ascii="Times New Roman" w:hAnsi="Times New Roman"/>
          <w:sz w:val="24"/>
          <w:szCs w:val="24"/>
        </w:rPr>
        <w:t>1</w:t>
      </w:r>
      <w:r>
        <w:rPr>
          <w:rFonts w:hint="eastAsia" w:ascii="宋体" w:hAnsi="宋体"/>
          <w:sz w:val="24"/>
          <w:szCs w:val="24"/>
        </w:rPr>
        <w:t>）货物运达现场后，甲方对乙方提供的家具进行外观验收，确认产品的产地、规格、数量、材质等内容，必要时可请质检部门参与验收。</w:t>
      </w:r>
    </w:p>
    <w:p w14:paraId="7CE7DFF8">
      <w:pPr>
        <w:spacing w:line="360" w:lineRule="auto"/>
        <w:ind w:firstLine="420"/>
        <w:rPr>
          <w:rFonts w:hint="eastAsia" w:ascii="Times New Roman" w:hAnsi="Times New Roman"/>
          <w:sz w:val="24"/>
          <w:szCs w:val="24"/>
        </w:rPr>
      </w:pPr>
      <w:r>
        <w:rPr>
          <w:rFonts w:hint="eastAsia" w:ascii="宋体" w:hAnsi="宋体"/>
          <w:sz w:val="24"/>
          <w:szCs w:val="24"/>
        </w:rPr>
        <w:t>①确认货物在产地、数量、材质、样式等方面与合同约定的一致。</w:t>
      </w:r>
    </w:p>
    <w:p w14:paraId="68C4A45B">
      <w:pPr>
        <w:spacing w:line="360" w:lineRule="auto"/>
        <w:ind w:firstLine="420"/>
        <w:rPr>
          <w:rFonts w:hint="eastAsia" w:ascii="Times New Roman" w:hAnsi="Times New Roman"/>
          <w:sz w:val="24"/>
          <w:szCs w:val="24"/>
        </w:rPr>
      </w:pPr>
      <w:r>
        <w:rPr>
          <w:rFonts w:hint="eastAsia" w:ascii="宋体" w:hAnsi="宋体"/>
          <w:sz w:val="24"/>
          <w:szCs w:val="24"/>
        </w:rPr>
        <w:t>②货物应符合国家治理要求标准。</w:t>
      </w:r>
    </w:p>
    <w:p w14:paraId="027FB159">
      <w:pPr>
        <w:spacing w:line="360" w:lineRule="auto"/>
        <w:ind w:firstLine="420"/>
        <w:rPr>
          <w:rFonts w:hint="eastAsia" w:ascii="Times New Roman" w:hAnsi="Times New Roman"/>
          <w:sz w:val="24"/>
          <w:szCs w:val="24"/>
        </w:rPr>
      </w:pPr>
      <w:r>
        <w:rPr>
          <w:rFonts w:hint="eastAsia" w:ascii="宋体" w:hAnsi="宋体"/>
          <w:sz w:val="24"/>
          <w:szCs w:val="24"/>
        </w:rPr>
        <w:t>（</w:t>
      </w:r>
      <w:r>
        <w:rPr>
          <w:rFonts w:hint="eastAsia" w:ascii="Times New Roman" w:hAnsi="Times New Roman"/>
          <w:sz w:val="24"/>
          <w:szCs w:val="24"/>
        </w:rPr>
        <w:t>2</w:t>
      </w:r>
      <w:r>
        <w:rPr>
          <w:rFonts w:hint="eastAsia" w:ascii="宋体" w:hAnsi="宋体"/>
          <w:sz w:val="24"/>
          <w:szCs w:val="24"/>
        </w:rPr>
        <w:t>）在包装箱体完好无损的情况下，货物数量、规格型号、外观质量、主要部件、产品合格证、技术规格说明书等与约定不符，乙方应负责补足或更换，如开箱前包装箱已经损坏，箱内货物有缺损或与约定不符的，亦由乙方负责。</w:t>
      </w:r>
    </w:p>
    <w:p w14:paraId="6451B005">
      <w:pPr>
        <w:spacing w:line="360" w:lineRule="auto"/>
        <w:ind w:firstLine="420"/>
        <w:rPr>
          <w:rFonts w:hint="eastAsia" w:ascii="Times New Roman" w:hAnsi="Times New Roman"/>
          <w:sz w:val="24"/>
          <w:szCs w:val="24"/>
        </w:rPr>
      </w:pPr>
      <w:r>
        <w:rPr>
          <w:rFonts w:hint="eastAsia" w:ascii="Times New Roman" w:hAnsi="Times New Roman"/>
          <w:sz w:val="24"/>
          <w:szCs w:val="24"/>
        </w:rPr>
        <w:t>2</w:t>
      </w:r>
      <w:r>
        <w:rPr>
          <w:rFonts w:hint="eastAsia" w:ascii="宋体" w:hAnsi="宋体"/>
          <w:sz w:val="24"/>
          <w:szCs w:val="24"/>
        </w:rPr>
        <w:t>、安装验收：</w:t>
      </w:r>
    </w:p>
    <w:p w14:paraId="6BC86F8C">
      <w:pPr>
        <w:spacing w:line="360" w:lineRule="auto"/>
        <w:ind w:firstLine="420"/>
        <w:rPr>
          <w:rFonts w:hint="eastAsia" w:ascii="Times New Roman" w:hAnsi="Times New Roman"/>
          <w:sz w:val="24"/>
          <w:szCs w:val="24"/>
        </w:rPr>
      </w:pPr>
      <w:r>
        <w:rPr>
          <w:rFonts w:hint="eastAsia" w:ascii="宋体" w:hAnsi="宋体"/>
          <w:sz w:val="24"/>
          <w:szCs w:val="24"/>
        </w:rPr>
        <w:t>乙方安装、调试完毕后，书面通知甲方进行综合验收。甲方接到通知后按照国家、行业以及本设备的技术参数和功能说明书等进行综合验收，验收合格后书面确认，签署综合验收单；验收不合格的，通知乙方在规定的时间内进行整改，直至验收合格。</w:t>
      </w:r>
    </w:p>
    <w:p w14:paraId="5E77EECA">
      <w:pPr>
        <w:spacing w:line="360" w:lineRule="auto"/>
        <w:ind w:firstLine="420"/>
        <w:rPr>
          <w:rFonts w:hint="eastAsia" w:ascii="Times New Roman" w:hAnsi="Times New Roman"/>
          <w:sz w:val="24"/>
          <w:szCs w:val="24"/>
        </w:rPr>
      </w:pPr>
      <w:r>
        <w:rPr>
          <w:rFonts w:hint="eastAsia" w:ascii="Times New Roman" w:hAnsi="Times New Roman"/>
          <w:sz w:val="24"/>
          <w:szCs w:val="24"/>
        </w:rPr>
        <w:t>3</w:t>
      </w:r>
      <w:r>
        <w:rPr>
          <w:rFonts w:hint="eastAsia" w:ascii="宋体" w:hAnsi="宋体"/>
          <w:sz w:val="24"/>
          <w:szCs w:val="24"/>
        </w:rPr>
        <w:t>、验收依据：</w:t>
      </w:r>
    </w:p>
    <w:p w14:paraId="63DB5E76">
      <w:pPr>
        <w:spacing w:line="360" w:lineRule="auto"/>
        <w:ind w:firstLine="420"/>
        <w:rPr>
          <w:rFonts w:hint="eastAsia" w:ascii="Times New Roman" w:hAnsi="Times New Roman"/>
          <w:sz w:val="24"/>
          <w:szCs w:val="24"/>
        </w:rPr>
      </w:pPr>
      <w:r>
        <w:rPr>
          <w:rFonts w:hint="eastAsia" w:ascii="宋体" w:hAnsi="宋体"/>
          <w:sz w:val="24"/>
          <w:szCs w:val="24"/>
        </w:rPr>
        <w:t>（</w:t>
      </w:r>
      <w:r>
        <w:rPr>
          <w:rFonts w:hint="eastAsia" w:ascii="Times New Roman" w:hAnsi="Times New Roman"/>
          <w:sz w:val="24"/>
          <w:szCs w:val="24"/>
        </w:rPr>
        <w:t>1</w:t>
      </w:r>
      <w:r>
        <w:rPr>
          <w:rFonts w:hint="eastAsia" w:ascii="宋体" w:hAnsi="宋体"/>
          <w:sz w:val="24"/>
          <w:szCs w:val="24"/>
        </w:rPr>
        <w:t>）本合同文本；</w:t>
      </w:r>
    </w:p>
    <w:p w14:paraId="5D637D1E">
      <w:pPr>
        <w:spacing w:line="360" w:lineRule="auto"/>
        <w:ind w:firstLine="420"/>
        <w:rPr>
          <w:rFonts w:hint="eastAsia" w:ascii="Times New Roman" w:hAnsi="Times New Roman"/>
          <w:sz w:val="24"/>
          <w:szCs w:val="24"/>
        </w:rPr>
      </w:pPr>
      <w:r>
        <w:rPr>
          <w:rFonts w:hint="eastAsia" w:ascii="宋体" w:hAnsi="宋体"/>
          <w:sz w:val="24"/>
          <w:szCs w:val="24"/>
        </w:rPr>
        <w:t>（</w:t>
      </w:r>
      <w:r>
        <w:rPr>
          <w:rFonts w:hint="eastAsia" w:ascii="Times New Roman" w:hAnsi="Times New Roman"/>
          <w:sz w:val="24"/>
          <w:szCs w:val="24"/>
        </w:rPr>
        <w:t>2</w:t>
      </w:r>
      <w:r>
        <w:rPr>
          <w:rFonts w:hint="eastAsia" w:ascii="宋体" w:hAnsi="宋体"/>
          <w:sz w:val="24"/>
          <w:szCs w:val="24"/>
        </w:rPr>
        <w:t>）国内相应的标准、规范；</w:t>
      </w:r>
    </w:p>
    <w:p w14:paraId="5D4A706D">
      <w:pPr>
        <w:spacing w:line="360" w:lineRule="auto"/>
        <w:ind w:firstLine="420"/>
        <w:rPr>
          <w:rFonts w:hint="eastAsia"/>
          <w:sz w:val="24"/>
          <w:szCs w:val="24"/>
        </w:rPr>
      </w:pPr>
      <w:r>
        <w:rPr>
          <w:rFonts w:hint="eastAsia" w:ascii="宋体" w:hAnsi="宋体"/>
          <w:sz w:val="24"/>
          <w:szCs w:val="24"/>
        </w:rPr>
        <w:t>（</w:t>
      </w:r>
      <w:r>
        <w:rPr>
          <w:rFonts w:hint="eastAsia" w:ascii="Times New Roman" w:hAnsi="Times New Roman"/>
          <w:sz w:val="24"/>
          <w:szCs w:val="24"/>
        </w:rPr>
        <w:t>3</w:t>
      </w:r>
      <w:r>
        <w:rPr>
          <w:rFonts w:hint="eastAsia" w:ascii="宋体" w:hAnsi="宋体"/>
          <w:sz w:val="24"/>
          <w:szCs w:val="24"/>
        </w:rPr>
        <w:t>）招标文件、投标文件、中标通知书等相关文件；</w:t>
      </w:r>
    </w:p>
    <w:p w14:paraId="7CD896CB">
      <w:pPr>
        <w:spacing w:line="360" w:lineRule="auto"/>
        <w:ind w:firstLine="420"/>
        <w:rPr>
          <w:rFonts w:hint="eastAsia" w:ascii="Times New Roman" w:hAnsi="Times New Roman"/>
          <w:b/>
          <w:bCs/>
          <w:sz w:val="24"/>
          <w:szCs w:val="24"/>
        </w:rPr>
      </w:pPr>
      <w:r>
        <w:rPr>
          <w:rFonts w:hint="eastAsia" w:ascii="宋体" w:hAnsi="宋体"/>
          <w:b/>
          <w:bCs/>
          <w:sz w:val="24"/>
          <w:szCs w:val="24"/>
        </w:rPr>
        <w:t>七、甲方的权利与义务</w:t>
      </w:r>
    </w:p>
    <w:p w14:paraId="029D1A47">
      <w:pPr>
        <w:spacing w:line="360" w:lineRule="auto"/>
        <w:ind w:firstLine="420"/>
        <w:rPr>
          <w:rFonts w:hint="eastAsia" w:ascii="Times New Roman" w:hAnsi="Times New Roman"/>
          <w:sz w:val="24"/>
          <w:szCs w:val="24"/>
        </w:rPr>
      </w:pPr>
      <w:r>
        <w:rPr>
          <w:rFonts w:hint="eastAsia" w:ascii="Times New Roman" w:hAnsi="Times New Roman"/>
          <w:sz w:val="24"/>
          <w:szCs w:val="24"/>
        </w:rPr>
        <w:t>1</w:t>
      </w:r>
      <w:r>
        <w:rPr>
          <w:rFonts w:hint="eastAsia" w:ascii="宋体" w:hAnsi="宋体"/>
          <w:sz w:val="24"/>
          <w:szCs w:val="24"/>
        </w:rPr>
        <w:t>、按本合同约定条款支付合同款项。</w:t>
      </w:r>
    </w:p>
    <w:p w14:paraId="0F35455A">
      <w:pPr>
        <w:spacing w:line="360" w:lineRule="auto"/>
        <w:ind w:firstLine="420"/>
        <w:rPr>
          <w:rFonts w:hint="eastAsia" w:ascii="Times New Roman" w:hAnsi="Times New Roman"/>
          <w:sz w:val="24"/>
          <w:szCs w:val="24"/>
        </w:rPr>
      </w:pPr>
      <w:r>
        <w:rPr>
          <w:rFonts w:hint="eastAsia" w:ascii="Times New Roman" w:hAnsi="Times New Roman"/>
          <w:sz w:val="24"/>
          <w:szCs w:val="24"/>
        </w:rPr>
        <w:t>2</w:t>
      </w:r>
      <w:r>
        <w:rPr>
          <w:rFonts w:hint="eastAsia" w:ascii="宋体" w:hAnsi="宋体"/>
          <w:sz w:val="24"/>
          <w:szCs w:val="24"/>
        </w:rPr>
        <w:t>、负责为货物提供存放场所，综合验收完成前保管工作由乙方负责，综合验收完成后货物保管工作由甲方自负。</w:t>
      </w:r>
    </w:p>
    <w:p w14:paraId="71915DAC">
      <w:pPr>
        <w:spacing w:line="360" w:lineRule="auto"/>
        <w:ind w:firstLine="420"/>
        <w:rPr>
          <w:rFonts w:hint="eastAsia" w:ascii="Times New Roman" w:hAnsi="Times New Roman"/>
          <w:sz w:val="24"/>
          <w:szCs w:val="24"/>
        </w:rPr>
      </w:pPr>
      <w:r>
        <w:rPr>
          <w:rFonts w:hint="eastAsia" w:ascii="Times New Roman" w:hAnsi="Times New Roman"/>
          <w:sz w:val="24"/>
          <w:szCs w:val="24"/>
        </w:rPr>
        <w:t>3</w:t>
      </w:r>
      <w:r>
        <w:rPr>
          <w:rFonts w:hint="eastAsia" w:ascii="宋体" w:hAnsi="宋体"/>
          <w:sz w:val="24"/>
          <w:szCs w:val="24"/>
        </w:rPr>
        <w:t>、按合同要求及时收货，办理验收手续。</w:t>
      </w:r>
    </w:p>
    <w:p w14:paraId="1F889476">
      <w:pPr>
        <w:spacing w:line="360" w:lineRule="auto"/>
        <w:ind w:firstLine="420"/>
        <w:rPr>
          <w:rFonts w:hint="eastAsia" w:ascii="Times New Roman" w:hAnsi="Times New Roman"/>
          <w:b/>
          <w:bCs/>
          <w:sz w:val="24"/>
          <w:szCs w:val="24"/>
        </w:rPr>
      </w:pPr>
      <w:r>
        <w:rPr>
          <w:rFonts w:hint="eastAsia" w:ascii="宋体" w:hAnsi="宋体"/>
          <w:b/>
          <w:bCs/>
          <w:sz w:val="24"/>
          <w:szCs w:val="24"/>
        </w:rPr>
        <w:t>八、乙方的权利与义务</w:t>
      </w:r>
    </w:p>
    <w:p w14:paraId="037E92D9">
      <w:pPr>
        <w:spacing w:line="360" w:lineRule="auto"/>
        <w:ind w:firstLine="420"/>
        <w:rPr>
          <w:rFonts w:hint="eastAsia" w:ascii="Times New Roman" w:hAnsi="Times New Roman"/>
          <w:sz w:val="24"/>
          <w:szCs w:val="24"/>
        </w:rPr>
      </w:pPr>
      <w:r>
        <w:rPr>
          <w:rFonts w:hint="eastAsia" w:ascii="Times New Roman" w:hAnsi="Times New Roman"/>
          <w:sz w:val="24"/>
          <w:szCs w:val="24"/>
        </w:rPr>
        <w:t>1</w:t>
      </w:r>
      <w:r>
        <w:rPr>
          <w:rFonts w:hint="eastAsia" w:ascii="宋体" w:hAnsi="宋体"/>
          <w:sz w:val="24"/>
          <w:szCs w:val="24"/>
        </w:rPr>
        <w:t>、乙方负责按照合同要求向甲方提供合格的货物及正规财税发票。</w:t>
      </w:r>
    </w:p>
    <w:p w14:paraId="64FA1564">
      <w:pPr>
        <w:spacing w:line="360" w:lineRule="auto"/>
        <w:ind w:firstLine="420"/>
        <w:rPr>
          <w:rFonts w:hint="eastAsia" w:ascii="Times New Roman" w:hAnsi="Times New Roman"/>
          <w:sz w:val="24"/>
          <w:szCs w:val="24"/>
        </w:rPr>
      </w:pPr>
      <w:r>
        <w:rPr>
          <w:rFonts w:hint="eastAsia" w:ascii="Times New Roman" w:hAnsi="Times New Roman"/>
          <w:sz w:val="24"/>
          <w:szCs w:val="24"/>
        </w:rPr>
        <w:t>2</w:t>
      </w:r>
      <w:r>
        <w:rPr>
          <w:rFonts w:hint="eastAsia" w:ascii="宋体" w:hAnsi="宋体"/>
          <w:sz w:val="24"/>
          <w:szCs w:val="24"/>
        </w:rPr>
        <w:t>、乙方负责将货物运送到甲方指定的地点，自到货至安装、调试检验合格及交付甲方前的保管工作。</w:t>
      </w:r>
    </w:p>
    <w:p w14:paraId="34362B43">
      <w:pPr>
        <w:autoSpaceDE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3</w:t>
      </w:r>
      <w:r>
        <w:rPr>
          <w:rFonts w:hint="eastAsia" w:ascii="宋体" w:hAnsi="宋体"/>
          <w:sz w:val="24"/>
          <w:szCs w:val="24"/>
        </w:rPr>
        <w:t>、在现场具备安装条件时，乙方需及时进行现场安装技术指导工作。</w:t>
      </w:r>
    </w:p>
    <w:p w14:paraId="5AA3B862">
      <w:pPr>
        <w:autoSpaceDE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4</w:t>
      </w:r>
      <w:r>
        <w:rPr>
          <w:rFonts w:hint="eastAsia" w:ascii="宋体" w:hAnsi="宋体"/>
          <w:sz w:val="24"/>
          <w:szCs w:val="24"/>
        </w:rPr>
        <w:t>、负责组织配备专业管理人员实施现场监理。</w:t>
      </w:r>
    </w:p>
    <w:p w14:paraId="02A3485F">
      <w:pPr>
        <w:autoSpaceDE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5</w:t>
      </w:r>
      <w:r>
        <w:rPr>
          <w:rFonts w:hint="eastAsia" w:ascii="宋体" w:hAnsi="宋体"/>
          <w:sz w:val="24"/>
          <w:szCs w:val="24"/>
        </w:rPr>
        <w:t>、移交随机资料一套及备用件。</w:t>
      </w:r>
    </w:p>
    <w:p w14:paraId="6F18FDAE">
      <w:pPr>
        <w:autoSpaceDE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6</w:t>
      </w:r>
      <w:r>
        <w:rPr>
          <w:rFonts w:hint="eastAsia" w:ascii="宋体" w:hAnsi="宋体"/>
          <w:sz w:val="24"/>
          <w:szCs w:val="24"/>
        </w:rPr>
        <w:t>、乙方在履行本合同期间所发生人身、财产等一切安全事故，均由乙方承担全部责任及费用，甲方不承担任何责任。</w:t>
      </w:r>
    </w:p>
    <w:p w14:paraId="07AE6B2F">
      <w:pPr>
        <w:autoSpaceDE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7</w:t>
      </w:r>
      <w:r>
        <w:rPr>
          <w:rFonts w:hint="eastAsia" w:ascii="宋体" w:hAnsi="宋体"/>
          <w:sz w:val="24"/>
          <w:szCs w:val="24"/>
        </w:rPr>
        <w:t>、乙方要做到工完场清，负责清理因履行本合同所产生的现场垃圾，并自行承担由此产生的各项费用；保护好安装现场甲方的成品及半成品工程。否则，产生的各项费用及损失由乙方承担。</w:t>
      </w:r>
    </w:p>
    <w:p w14:paraId="157B09AE">
      <w:pPr>
        <w:autoSpaceDE w:val="0"/>
        <w:spacing w:line="360" w:lineRule="auto"/>
        <w:ind w:firstLine="480" w:firstLineChars="200"/>
        <w:rPr>
          <w:rFonts w:ascii="Times New Roman" w:hAnsi="Times New Roman"/>
          <w:sz w:val="24"/>
          <w:szCs w:val="24"/>
        </w:rPr>
      </w:pPr>
      <w:r>
        <w:rPr>
          <w:rFonts w:hint="eastAsia" w:ascii="Times New Roman" w:hAnsi="Times New Roman"/>
          <w:sz w:val="24"/>
          <w:szCs w:val="24"/>
        </w:rPr>
        <w:t>8</w:t>
      </w:r>
      <w:r>
        <w:rPr>
          <w:rFonts w:hint="eastAsia" w:ascii="宋体" w:hAnsi="宋体"/>
          <w:sz w:val="24"/>
          <w:szCs w:val="24"/>
        </w:rPr>
        <w:t>、乙方负责合同范围内货物安装、技术资料整理、保修期维修、检测试验、技术指导及对甲方委派的技术人员进行现场培训，由此产生的费用已包含在合同价款中，甲方无需再支付任何费用。</w:t>
      </w:r>
    </w:p>
    <w:p w14:paraId="17F7CAAA">
      <w:pPr>
        <w:spacing w:line="360" w:lineRule="auto"/>
        <w:ind w:firstLine="420"/>
        <w:rPr>
          <w:rFonts w:hint="eastAsia" w:ascii="Times New Roman" w:hAnsi="Times New Roman"/>
          <w:sz w:val="24"/>
          <w:szCs w:val="24"/>
        </w:rPr>
      </w:pPr>
      <w:r>
        <w:rPr>
          <w:rFonts w:hint="eastAsia" w:ascii="Times New Roman" w:hAnsi="Times New Roman"/>
          <w:sz w:val="24"/>
          <w:szCs w:val="24"/>
        </w:rPr>
        <w:t>9</w:t>
      </w:r>
      <w:r>
        <w:rPr>
          <w:rFonts w:hint="eastAsia" w:ascii="宋体" w:hAnsi="宋体"/>
          <w:sz w:val="24"/>
          <w:szCs w:val="24"/>
        </w:rPr>
        <w:t>、乙方履行招、投标文件及本合同文件中的一切承诺及约定。</w:t>
      </w:r>
    </w:p>
    <w:p w14:paraId="0A07E1DB">
      <w:pPr>
        <w:spacing w:line="360" w:lineRule="auto"/>
        <w:ind w:firstLine="420"/>
        <w:rPr>
          <w:rFonts w:hint="eastAsia" w:ascii="Times New Roman" w:hAnsi="Times New Roman"/>
          <w:sz w:val="24"/>
          <w:szCs w:val="24"/>
        </w:rPr>
      </w:pPr>
      <w:r>
        <w:rPr>
          <w:rFonts w:hint="eastAsia" w:ascii="Times New Roman" w:hAnsi="Times New Roman"/>
          <w:sz w:val="24"/>
          <w:szCs w:val="24"/>
        </w:rPr>
        <w:t>10</w:t>
      </w:r>
      <w:r>
        <w:rPr>
          <w:rFonts w:hint="eastAsia" w:ascii="宋体" w:hAnsi="宋体"/>
          <w:sz w:val="24"/>
          <w:szCs w:val="24"/>
        </w:rPr>
        <w:t>、保证出售给甲方的家具的所有权以及知识产权等相关权利不存在瑕疵，不受第三方追诉，否则应承担由此给甲方造成的所有损失，该损失包括但不限于支付给第三方的赔偿费、甲方购买该家具的费用、诉讼</w:t>
      </w:r>
      <w:r>
        <w:rPr>
          <w:rFonts w:hint="eastAsia" w:ascii="Times New Roman" w:hAnsi="Times New Roman"/>
          <w:sz w:val="24"/>
          <w:szCs w:val="24"/>
        </w:rPr>
        <w:t>/</w:t>
      </w:r>
      <w:r>
        <w:rPr>
          <w:rFonts w:hint="eastAsia" w:ascii="宋体" w:hAnsi="宋体"/>
          <w:sz w:val="24"/>
          <w:szCs w:val="24"/>
        </w:rPr>
        <w:t>仲裁费、代理费、差旅费等。</w:t>
      </w:r>
    </w:p>
    <w:p w14:paraId="16B1EEB0">
      <w:pPr>
        <w:spacing w:line="360" w:lineRule="auto"/>
        <w:ind w:firstLine="420"/>
        <w:rPr>
          <w:rFonts w:hint="eastAsia" w:ascii="Times New Roman" w:hAnsi="Times New Roman"/>
          <w:b/>
          <w:bCs/>
          <w:sz w:val="24"/>
          <w:szCs w:val="24"/>
        </w:rPr>
      </w:pPr>
      <w:r>
        <w:rPr>
          <w:rFonts w:hint="eastAsia" w:ascii="宋体" w:hAnsi="宋体"/>
          <w:b/>
          <w:bCs/>
          <w:sz w:val="24"/>
          <w:szCs w:val="24"/>
        </w:rPr>
        <w:t>九、质保</w:t>
      </w:r>
    </w:p>
    <w:p w14:paraId="05EFC7A1">
      <w:pPr>
        <w:spacing w:line="360" w:lineRule="auto"/>
        <w:ind w:firstLine="420"/>
        <w:rPr>
          <w:rFonts w:hint="eastAsia" w:ascii="Times New Roman" w:hAnsi="Times New Roman"/>
          <w:sz w:val="24"/>
          <w:szCs w:val="24"/>
        </w:rPr>
      </w:pPr>
      <w:r>
        <w:rPr>
          <w:rFonts w:hint="eastAsia" w:ascii="Times New Roman" w:hAnsi="Times New Roman"/>
          <w:sz w:val="24"/>
          <w:szCs w:val="24"/>
        </w:rPr>
        <w:t>1</w:t>
      </w:r>
      <w:r>
        <w:rPr>
          <w:rFonts w:hint="eastAsia" w:ascii="宋体" w:hAnsi="宋体"/>
          <w:sz w:val="24"/>
          <w:szCs w:val="24"/>
        </w:rPr>
        <w:t>、质保期：家具质保期自乙方完成安装工作经甲方验收合格之日起</w:t>
      </w:r>
      <w:r>
        <w:rPr>
          <w:rFonts w:hint="eastAsia" w:ascii="Times New Roman" w:hAnsi="Times New Roman"/>
          <w:sz w:val="24"/>
          <w:szCs w:val="24"/>
          <w:u w:val="single"/>
        </w:rPr>
        <w:t xml:space="preserve"> </w:t>
      </w:r>
      <w:r>
        <w:rPr>
          <w:rFonts w:hint="eastAsia"/>
          <w:sz w:val="24"/>
          <w:szCs w:val="24"/>
          <w:u w:val="single"/>
          <w:lang w:val="en-US" w:eastAsia="zh-CN"/>
        </w:rPr>
        <w:t>五</w:t>
      </w:r>
      <w:r>
        <w:rPr>
          <w:rFonts w:hint="eastAsia" w:ascii="Times New Roman" w:hAnsi="Times New Roman"/>
          <w:sz w:val="24"/>
          <w:szCs w:val="24"/>
          <w:u w:val="single"/>
        </w:rPr>
        <w:t xml:space="preserve"> </w:t>
      </w:r>
      <w:r>
        <w:rPr>
          <w:rFonts w:hint="eastAsia" w:ascii="宋体" w:hAnsi="宋体"/>
          <w:sz w:val="24"/>
          <w:szCs w:val="24"/>
        </w:rPr>
        <w:t>年。</w:t>
      </w:r>
    </w:p>
    <w:p w14:paraId="66E64206">
      <w:pPr>
        <w:spacing w:line="360" w:lineRule="auto"/>
        <w:ind w:firstLine="420"/>
        <w:rPr>
          <w:rFonts w:hint="eastAsia" w:ascii="Times New Roman" w:hAnsi="Times New Roman"/>
          <w:sz w:val="24"/>
          <w:szCs w:val="24"/>
        </w:rPr>
      </w:pPr>
      <w:r>
        <w:rPr>
          <w:rFonts w:hint="eastAsia" w:ascii="Times New Roman" w:hAnsi="Times New Roman"/>
          <w:sz w:val="24"/>
          <w:szCs w:val="24"/>
        </w:rPr>
        <w:t>2</w:t>
      </w:r>
      <w:r>
        <w:rPr>
          <w:rFonts w:hint="eastAsia" w:ascii="宋体" w:hAnsi="宋体"/>
          <w:sz w:val="24"/>
          <w:szCs w:val="24"/>
        </w:rPr>
        <w:t>、若甲方在使用过程中故意造成的使用不当或故意造成的人为性损毁，由甲方自行负担维修，乙方不承担由此产生的维修费用，除前述情形外质保期内乙方须负责维护，且免费上门维修、更换。乙方未按甲方规定的时间进行维修或【</w:t>
      </w:r>
      <w:r>
        <w:rPr>
          <w:rFonts w:hint="eastAsia" w:ascii="宋体" w:hAnsi="宋体"/>
          <w:sz w:val="24"/>
          <w:szCs w:val="24"/>
          <w:lang w:val="en-US" w:eastAsia="zh-CN"/>
        </w:rPr>
        <w:t>3</w:t>
      </w:r>
      <w:r>
        <w:rPr>
          <w:rFonts w:hint="eastAsia" w:ascii="宋体" w:hAnsi="宋体"/>
          <w:sz w:val="24"/>
          <w:szCs w:val="24"/>
        </w:rPr>
        <w:t>】次无法修复的，甲方有权委托第三方进行维修，由此产生的费用由乙方承担，甲方有权从乙方的质保金中扣除，不足部分由乙方另行支付，同时乙方将被纳入甲方不良信誉名单，后期不得再参加甲方任何投标。</w:t>
      </w:r>
    </w:p>
    <w:p w14:paraId="117F53B2">
      <w:pPr>
        <w:spacing w:line="360" w:lineRule="auto"/>
        <w:ind w:firstLine="420"/>
        <w:rPr>
          <w:rFonts w:hint="eastAsia" w:ascii="Times New Roman" w:hAnsi="Times New Roman"/>
          <w:b/>
          <w:bCs/>
          <w:sz w:val="24"/>
          <w:szCs w:val="24"/>
        </w:rPr>
      </w:pPr>
      <w:r>
        <w:rPr>
          <w:rFonts w:hint="eastAsia" w:ascii="宋体" w:hAnsi="宋体"/>
          <w:b/>
          <w:bCs/>
          <w:sz w:val="24"/>
          <w:szCs w:val="24"/>
        </w:rPr>
        <w:t>十、违约责任</w:t>
      </w:r>
    </w:p>
    <w:p w14:paraId="50BAA8C1">
      <w:pPr>
        <w:spacing w:line="360" w:lineRule="auto"/>
        <w:ind w:firstLine="420"/>
        <w:rPr>
          <w:rFonts w:hint="eastAsia" w:ascii="Times New Roman" w:hAnsi="Times New Roman"/>
          <w:sz w:val="24"/>
          <w:szCs w:val="24"/>
        </w:rPr>
      </w:pPr>
      <w:r>
        <w:rPr>
          <w:rFonts w:hint="eastAsia" w:ascii="Times New Roman" w:hAnsi="Times New Roman"/>
          <w:sz w:val="24"/>
          <w:szCs w:val="24"/>
        </w:rPr>
        <w:t>1</w:t>
      </w:r>
      <w:r>
        <w:rPr>
          <w:rFonts w:hint="eastAsia" w:ascii="宋体" w:hAnsi="宋体"/>
          <w:sz w:val="24"/>
          <w:szCs w:val="24"/>
        </w:rPr>
        <w:t>、如乙方逾期交货，每逾期一日，乙方应向甲方支付逾期交付货物货款金额</w:t>
      </w:r>
      <w:r>
        <w:rPr>
          <w:rFonts w:hint="eastAsia" w:ascii="Times New Roman" w:hAnsi="Times New Roman"/>
          <w:sz w:val="24"/>
          <w:szCs w:val="24"/>
        </w:rPr>
        <w:t>1</w:t>
      </w:r>
      <w:r>
        <w:rPr>
          <w:rFonts w:hint="eastAsia" w:ascii="宋体" w:hAnsi="宋体"/>
          <w:sz w:val="24"/>
          <w:szCs w:val="24"/>
        </w:rPr>
        <w:t>‰的违约金，逾期超过十日，视为乙方根本违约，甲方有权单方解除本合同，合同自甲方书面解除通知送达乙方之日起解除，乙方除应在收到通知后的【</w:t>
      </w:r>
      <w:r>
        <w:rPr>
          <w:rFonts w:hint="eastAsia" w:ascii="宋体" w:hAnsi="宋体"/>
          <w:sz w:val="24"/>
          <w:szCs w:val="24"/>
          <w:lang w:val="en-US" w:eastAsia="zh-CN"/>
        </w:rPr>
        <w:t>10</w:t>
      </w:r>
      <w:r>
        <w:rPr>
          <w:rFonts w:hint="eastAsia" w:ascii="宋体" w:hAnsi="宋体"/>
          <w:sz w:val="24"/>
          <w:szCs w:val="24"/>
        </w:rPr>
        <w:t>】日内退还甲方已支付的全部款项外，还应按</w:t>
      </w:r>
      <w:r>
        <w:rPr>
          <w:rFonts w:hint="eastAsia" w:ascii="宋体" w:hAnsi="宋体"/>
          <w:sz w:val="24"/>
          <w:szCs w:val="24"/>
          <w:lang w:eastAsia="zh-CN"/>
        </w:rPr>
        <w:t>已支付货款</w:t>
      </w:r>
      <w:r>
        <w:rPr>
          <w:rFonts w:hint="eastAsia" w:ascii="宋体" w:hAnsi="宋体"/>
          <w:sz w:val="24"/>
          <w:szCs w:val="24"/>
        </w:rPr>
        <w:t>的</w:t>
      </w:r>
      <w:r>
        <w:rPr>
          <w:rFonts w:hint="eastAsia" w:ascii="Times New Roman" w:hAnsi="Times New Roman"/>
          <w:sz w:val="24"/>
          <w:szCs w:val="24"/>
        </w:rPr>
        <w:t>30%</w:t>
      </w:r>
      <w:r>
        <w:rPr>
          <w:rFonts w:hint="eastAsia" w:ascii="宋体" w:hAnsi="宋体"/>
          <w:sz w:val="24"/>
          <w:szCs w:val="24"/>
        </w:rPr>
        <w:t>承担违约金。如该违约责任不足以弥补甲方损失，乙方还应予以补足。</w:t>
      </w:r>
    </w:p>
    <w:p w14:paraId="39A96303">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2</w:t>
      </w:r>
      <w:r>
        <w:rPr>
          <w:rFonts w:hint="eastAsia" w:ascii="宋体" w:hAnsi="宋体"/>
          <w:sz w:val="24"/>
          <w:szCs w:val="24"/>
        </w:rPr>
        <w:t>、乙方所供货物经开箱检验不符合双方约定的，应在甲方要求的期限内为甲方调换或补齐，自行承担由此产生的各项费用。乙方未按前述要求调换或补齐的，甲方有权单方解除本合同，合同自甲方书面解除通知送达乙方之日起解除，乙方除应在收到解除通知后的【</w:t>
      </w:r>
      <w:r>
        <w:rPr>
          <w:rFonts w:hint="eastAsia" w:ascii="宋体" w:hAnsi="宋体"/>
          <w:sz w:val="24"/>
          <w:szCs w:val="24"/>
          <w:lang w:val="en-US" w:eastAsia="zh-CN"/>
        </w:rPr>
        <w:t>10</w:t>
      </w:r>
      <w:r>
        <w:rPr>
          <w:rFonts w:hint="eastAsia" w:ascii="宋体" w:hAnsi="宋体"/>
          <w:sz w:val="24"/>
          <w:szCs w:val="24"/>
        </w:rPr>
        <w:t>】日内退还甲方已支付的全部款项外，还应按</w:t>
      </w:r>
      <w:r>
        <w:rPr>
          <w:rFonts w:hint="eastAsia" w:ascii="宋体" w:hAnsi="宋体"/>
          <w:sz w:val="24"/>
          <w:szCs w:val="24"/>
          <w:lang w:eastAsia="zh-CN"/>
        </w:rPr>
        <w:t>已支付货款</w:t>
      </w:r>
      <w:r>
        <w:rPr>
          <w:rFonts w:hint="eastAsia" w:ascii="宋体" w:hAnsi="宋体"/>
          <w:sz w:val="24"/>
          <w:szCs w:val="24"/>
        </w:rPr>
        <w:t>的</w:t>
      </w:r>
      <w:r>
        <w:rPr>
          <w:rFonts w:hint="eastAsia" w:ascii="Times New Roman" w:hAnsi="Times New Roman"/>
          <w:sz w:val="24"/>
          <w:szCs w:val="24"/>
        </w:rPr>
        <w:t>30%</w:t>
      </w:r>
      <w:r>
        <w:rPr>
          <w:rFonts w:hint="eastAsia" w:ascii="宋体" w:hAnsi="宋体"/>
          <w:sz w:val="24"/>
          <w:szCs w:val="24"/>
        </w:rPr>
        <w:t>承担违约金。如该违约金不足以弥补甲方损失，乙方还应予以补足。</w:t>
      </w:r>
    </w:p>
    <w:p w14:paraId="29D2B6B4">
      <w:pPr>
        <w:spacing w:line="360" w:lineRule="auto"/>
        <w:ind w:firstLine="420"/>
        <w:rPr>
          <w:rFonts w:hint="eastAsia" w:ascii="Times New Roman" w:hAnsi="Times New Roman"/>
          <w:sz w:val="24"/>
          <w:szCs w:val="24"/>
        </w:rPr>
      </w:pPr>
      <w:r>
        <w:rPr>
          <w:rFonts w:hint="eastAsia" w:ascii="Times New Roman" w:hAnsi="Times New Roman"/>
          <w:sz w:val="24"/>
          <w:szCs w:val="24"/>
        </w:rPr>
        <w:t>3</w:t>
      </w:r>
      <w:r>
        <w:rPr>
          <w:rFonts w:hint="eastAsia" w:ascii="宋体" w:hAnsi="宋体"/>
          <w:sz w:val="24"/>
          <w:szCs w:val="24"/>
        </w:rPr>
        <w:t>、乙方所供的货物不符合招、投标文件及合同约定的技术及质量标准的，在甲方要求的期限内乙方必须重新按约定供货，并自行承担由此产生的各项费用；如乙方不能重新供货，甲方有权单方解除本合同，合同自甲方书面解除通知送达乙方之日起解除，乙方除应在收到解除通知后的【</w:t>
      </w:r>
      <w:r>
        <w:rPr>
          <w:rFonts w:hint="eastAsia" w:ascii="宋体" w:hAnsi="宋体"/>
          <w:sz w:val="24"/>
          <w:szCs w:val="24"/>
          <w:lang w:val="en-US" w:eastAsia="zh-CN"/>
        </w:rPr>
        <w:t>10</w:t>
      </w:r>
      <w:r>
        <w:rPr>
          <w:rFonts w:hint="eastAsia" w:ascii="宋体" w:hAnsi="宋体"/>
          <w:sz w:val="24"/>
          <w:szCs w:val="24"/>
        </w:rPr>
        <w:t>】日内退还甲方已支付的全部款项外，还应按</w:t>
      </w:r>
      <w:r>
        <w:rPr>
          <w:rFonts w:hint="eastAsia" w:ascii="宋体" w:hAnsi="宋体"/>
          <w:sz w:val="24"/>
          <w:szCs w:val="24"/>
          <w:lang w:eastAsia="zh-CN"/>
        </w:rPr>
        <w:t>已支付货款</w:t>
      </w:r>
      <w:r>
        <w:rPr>
          <w:rFonts w:hint="eastAsia" w:ascii="宋体" w:hAnsi="宋体"/>
          <w:sz w:val="24"/>
          <w:szCs w:val="24"/>
        </w:rPr>
        <w:t>的</w:t>
      </w:r>
      <w:r>
        <w:rPr>
          <w:rFonts w:hint="eastAsia" w:ascii="Times New Roman" w:hAnsi="Times New Roman"/>
          <w:sz w:val="24"/>
          <w:szCs w:val="24"/>
        </w:rPr>
        <w:t>30%</w:t>
      </w:r>
      <w:r>
        <w:rPr>
          <w:rFonts w:hint="eastAsia" w:ascii="Times New Roman" w:hAnsi="Times New Roman"/>
          <w:sz w:val="24"/>
          <w:szCs w:val="24"/>
          <w:lang w:eastAsia="zh-CN"/>
        </w:rPr>
        <w:t>承担</w:t>
      </w:r>
      <w:r>
        <w:rPr>
          <w:rFonts w:hint="eastAsia" w:ascii="宋体" w:hAnsi="宋体"/>
          <w:sz w:val="24"/>
          <w:szCs w:val="24"/>
        </w:rPr>
        <w:t>违约金。如该违约金不足以弥补甲方损失，乙方还应予以补足。</w:t>
      </w:r>
    </w:p>
    <w:p w14:paraId="53DBFF57">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4</w:t>
      </w:r>
      <w:r>
        <w:rPr>
          <w:rFonts w:hint="eastAsia" w:ascii="宋体" w:hAnsi="宋体"/>
          <w:sz w:val="24"/>
          <w:szCs w:val="24"/>
        </w:rPr>
        <w:t>、乙方所供产品在正常使用中，由于产品本身质量问题给甲方、第三人造成人身、财产损害的，乙方应承担全部法律责任及费用。</w:t>
      </w:r>
    </w:p>
    <w:p w14:paraId="1A83BE7B">
      <w:pPr>
        <w:spacing w:line="360" w:lineRule="auto"/>
        <w:ind w:firstLine="420"/>
        <w:rPr>
          <w:rFonts w:hint="eastAsia" w:ascii="Times New Roman" w:hAnsi="Times New Roman"/>
          <w:sz w:val="24"/>
          <w:szCs w:val="24"/>
        </w:rPr>
      </w:pPr>
      <w:r>
        <w:rPr>
          <w:rFonts w:hint="eastAsia" w:ascii="Times New Roman" w:hAnsi="Times New Roman"/>
          <w:sz w:val="24"/>
          <w:szCs w:val="24"/>
        </w:rPr>
        <w:t>5</w:t>
      </w:r>
      <w:r>
        <w:rPr>
          <w:rFonts w:hint="eastAsia" w:ascii="宋体" w:hAnsi="宋体"/>
          <w:sz w:val="24"/>
          <w:szCs w:val="24"/>
        </w:rPr>
        <w:t>、因乙方提供的货物技术参数有误或因乙方原因导致无法安装，所发生的费用及损失由乙方承担，由此引起的交货期延误按本条第</w:t>
      </w:r>
      <w:r>
        <w:rPr>
          <w:rFonts w:hint="eastAsia" w:ascii="Times New Roman" w:hAnsi="Times New Roman"/>
          <w:sz w:val="24"/>
          <w:szCs w:val="24"/>
        </w:rPr>
        <w:t>1</w:t>
      </w:r>
      <w:r>
        <w:rPr>
          <w:rFonts w:hint="eastAsia" w:ascii="宋体" w:hAnsi="宋体"/>
          <w:sz w:val="24"/>
          <w:szCs w:val="24"/>
        </w:rPr>
        <w:t>款处理。</w:t>
      </w:r>
    </w:p>
    <w:p w14:paraId="6D3EB619">
      <w:pPr>
        <w:spacing w:line="360" w:lineRule="auto"/>
        <w:ind w:firstLine="420"/>
        <w:rPr>
          <w:rFonts w:hint="eastAsia" w:ascii="Times New Roman" w:hAnsi="Times New Roman"/>
          <w:sz w:val="24"/>
          <w:szCs w:val="24"/>
        </w:rPr>
      </w:pPr>
      <w:r>
        <w:rPr>
          <w:rFonts w:hint="eastAsia" w:ascii="Times New Roman" w:hAnsi="Times New Roman"/>
          <w:sz w:val="24"/>
          <w:szCs w:val="24"/>
        </w:rPr>
        <w:t>6</w:t>
      </w:r>
      <w:r>
        <w:rPr>
          <w:rFonts w:hint="eastAsia" w:ascii="宋体" w:hAnsi="宋体"/>
          <w:sz w:val="24"/>
          <w:szCs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14:paraId="52EB9F26">
      <w:pPr>
        <w:spacing w:line="360" w:lineRule="auto"/>
        <w:ind w:firstLine="420"/>
        <w:rPr>
          <w:rFonts w:hint="eastAsia" w:ascii="Times New Roman" w:hAnsi="Times New Roman"/>
          <w:b/>
          <w:bCs/>
          <w:sz w:val="24"/>
          <w:szCs w:val="24"/>
        </w:rPr>
      </w:pPr>
      <w:r>
        <w:rPr>
          <w:rFonts w:hint="eastAsia" w:ascii="宋体" w:hAnsi="宋体"/>
          <w:b/>
          <w:bCs/>
          <w:sz w:val="24"/>
          <w:szCs w:val="24"/>
        </w:rPr>
        <w:t>十一、纠纷解决方式</w:t>
      </w:r>
    </w:p>
    <w:p w14:paraId="39E60AC2">
      <w:pPr>
        <w:spacing w:line="360" w:lineRule="auto"/>
        <w:ind w:firstLine="420"/>
        <w:rPr>
          <w:rFonts w:hint="eastAsia" w:ascii="Times New Roman" w:hAnsi="Times New Roman"/>
          <w:sz w:val="24"/>
          <w:szCs w:val="24"/>
        </w:rPr>
      </w:pPr>
      <w:r>
        <w:rPr>
          <w:rFonts w:hint="eastAsia" w:ascii="宋体" w:hAnsi="宋体"/>
          <w:sz w:val="24"/>
          <w:szCs w:val="24"/>
        </w:rPr>
        <w:t>各方如有争议应协商解决，协商不成，可向甲方所在地有管辖权的人民法院提起诉讼。</w:t>
      </w:r>
    </w:p>
    <w:p w14:paraId="520A9F2F">
      <w:pPr>
        <w:spacing w:line="360" w:lineRule="auto"/>
        <w:ind w:firstLine="420"/>
        <w:rPr>
          <w:rFonts w:hint="eastAsia" w:ascii="Times New Roman" w:hAnsi="Times New Roman"/>
          <w:b/>
          <w:bCs/>
          <w:sz w:val="24"/>
          <w:szCs w:val="24"/>
        </w:rPr>
      </w:pPr>
      <w:r>
        <w:rPr>
          <w:rFonts w:hint="eastAsia" w:ascii="宋体" w:hAnsi="宋体"/>
          <w:b/>
          <w:bCs/>
          <w:sz w:val="24"/>
          <w:szCs w:val="24"/>
        </w:rPr>
        <w:t>十二、其他</w:t>
      </w:r>
    </w:p>
    <w:p w14:paraId="1868B70C">
      <w:pPr>
        <w:spacing w:line="360" w:lineRule="auto"/>
        <w:ind w:firstLine="420"/>
        <w:rPr>
          <w:rFonts w:hint="eastAsia" w:ascii="Times New Roman" w:hAnsi="Times New Roman"/>
          <w:sz w:val="24"/>
          <w:szCs w:val="24"/>
        </w:rPr>
      </w:pPr>
      <w:r>
        <w:rPr>
          <w:rFonts w:hint="eastAsia" w:ascii="Times New Roman" w:hAnsi="Times New Roman"/>
          <w:sz w:val="24"/>
          <w:szCs w:val="24"/>
        </w:rPr>
        <w:t>1</w:t>
      </w:r>
      <w:r>
        <w:rPr>
          <w:rFonts w:hint="eastAsia" w:ascii="宋体" w:hAnsi="宋体"/>
          <w:sz w:val="24"/>
          <w:szCs w:val="24"/>
        </w:rPr>
        <w:t>、本合同在执行期间，如有未尽事宜，需由甲乙双方协商，签订补充协议。补充协议与本合同具有同等法律效力。</w:t>
      </w:r>
    </w:p>
    <w:p w14:paraId="45446D02">
      <w:pPr>
        <w:spacing w:line="360" w:lineRule="auto"/>
        <w:ind w:firstLine="420"/>
        <w:rPr>
          <w:rFonts w:hint="eastAsia" w:ascii="Times New Roman" w:hAnsi="Times New Roman"/>
          <w:sz w:val="24"/>
          <w:szCs w:val="24"/>
        </w:rPr>
      </w:pPr>
      <w:r>
        <w:rPr>
          <w:rFonts w:hint="eastAsia" w:ascii="Times New Roman" w:hAnsi="Times New Roman"/>
          <w:sz w:val="24"/>
          <w:szCs w:val="24"/>
        </w:rPr>
        <w:t>2</w:t>
      </w:r>
      <w:r>
        <w:rPr>
          <w:rFonts w:hint="eastAsia" w:ascii="宋体" w:hAnsi="宋体"/>
          <w:sz w:val="24"/>
          <w:szCs w:val="24"/>
        </w:rPr>
        <w:t>、本合同正本一式</w:t>
      </w:r>
      <w:r>
        <w:rPr>
          <w:rFonts w:hint="eastAsia" w:ascii="Times New Roman" w:hAnsi="Times New Roman"/>
          <w:sz w:val="24"/>
          <w:szCs w:val="24"/>
          <w:u w:val="single"/>
        </w:rPr>
        <w:t xml:space="preserve">  </w:t>
      </w:r>
      <w:r>
        <w:rPr>
          <w:rFonts w:hint="eastAsia" w:ascii="宋体" w:hAnsi="宋体"/>
          <w:sz w:val="24"/>
          <w:szCs w:val="24"/>
        </w:rPr>
        <w:t>份，甲、乙方各执</w:t>
      </w:r>
      <w:r>
        <w:rPr>
          <w:rFonts w:hint="eastAsia" w:ascii="Times New Roman" w:hAnsi="Times New Roman"/>
          <w:sz w:val="24"/>
          <w:szCs w:val="24"/>
          <w:u w:val="single"/>
        </w:rPr>
        <w:t xml:space="preserve">  </w:t>
      </w:r>
      <w:r>
        <w:rPr>
          <w:rFonts w:hint="eastAsia" w:ascii="宋体" w:hAnsi="宋体"/>
          <w:sz w:val="24"/>
          <w:szCs w:val="24"/>
        </w:rPr>
        <w:t>份，均具有相同法律效力。</w:t>
      </w:r>
    </w:p>
    <w:p w14:paraId="3B17319E">
      <w:pPr>
        <w:spacing w:line="360" w:lineRule="auto"/>
        <w:ind w:firstLine="420"/>
        <w:rPr>
          <w:rFonts w:hint="eastAsia" w:ascii="Times New Roman" w:hAnsi="Times New Roman"/>
          <w:sz w:val="24"/>
          <w:szCs w:val="24"/>
        </w:rPr>
      </w:pPr>
      <w:r>
        <w:rPr>
          <w:rFonts w:hint="eastAsia" w:ascii="Times New Roman" w:hAnsi="Times New Roman"/>
          <w:sz w:val="24"/>
          <w:szCs w:val="24"/>
        </w:rPr>
        <w:t>3</w:t>
      </w:r>
      <w:r>
        <w:rPr>
          <w:rFonts w:hint="eastAsia" w:ascii="宋体" w:hAnsi="宋体"/>
          <w:sz w:val="24"/>
          <w:szCs w:val="24"/>
        </w:rPr>
        <w:t>、本合同附件和本合同正文具有同等法律效力。</w:t>
      </w:r>
    </w:p>
    <w:p w14:paraId="16539ECB">
      <w:pPr>
        <w:spacing w:line="360" w:lineRule="auto"/>
        <w:ind w:firstLine="420"/>
        <w:rPr>
          <w:rFonts w:hint="eastAsia" w:ascii="Times New Roman" w:hAnsi="Times New Roman"/>
          <w:sz w:val="24"/>
          <w:szCs w:val="24"/>
        </w:rPr>
      </w:pPr>
      <w:r>
        <w:rPr>
          <w:rFonts w:hint="eastAsia" w:ascii="Times New Roman" w:hAnsi="Times New Roman"/>
          <w:sz w:val="24"/>
          <w:szCs w:val="24"/>
        </w:rPr>
        <w:t>4</w:t>
      </w:r>
      <w:r>
        <w:rPr>
          <w:rFonts w:hint="eastAsia" w:ascii="宋体" w:hAnsi="宋体"/>
          <w:sz w:val="24"/>
          <w:szCs w:val="24"/>
        </w:rPr>
        <w:t>、本合同自双方签字盖章或盖章之日起生效。</w:t>
      </w:r>
    </w:p>
    <w:p w14:paraId="6EAEF2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54DF5B0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1F5EF28D">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在开标前应</w:t>
      </w:r>
      <w:r>
        <w:rPr>
          <w:rStyle w:val="31"/>
          <w:rFonts w:hint="eastAsia" w:ascii="宋体" w:hAnsi="宋体" w:eastAsia="宋体" w:cs="宋体"/>
          <w:bCs/>
          <w:sz w:val="24"/>
          <w:szCs w:val="24"/>
          <w:highlight w:val="none"/>
          <w:lang w:val="en-US" w:eastAsia="zh-CN"/>
        </w:rPr>
        <w:t>缴纳</w:t>
      </w:r>
      <w:r>
        <w:rPr>
          <w:rStyle w:val="31"/>
          <w:rFonts w:hint="eastAsia" w:ascii="宋体" w:hAnsi="宋体" w:eastAsia="宋体" w:cs="宋体"/>
          <w:bCs/>
          <w:sz w:val="24"/>
          <w:szCs w:val="24"/>
          <w:highlight w:val="none"/>
        </w:rPr>
        <w:t>投标保</w:t>
      </w:r>
      <w:r>
        <w:rPr>
          <w:rStyle w:val="31"/>
          <w:rFonts w:hint="eastAsia" w:ascii="宋体" w:hAnsi="宋体" w:eastAsia="宋体" w:cs="宋体"/>
          <w:bCs/>
          <w:color w:val="000000"/>
          <w:sz w:val="24"/>
          <w:szCs w:val="24"/>
          <w:highlight w:val="none"/>
        </w:rPr>
        <w:t>证金</w:t>
      </w:r>
      <w:r>
        <w:rPr>
          <w:rStyle w:val="31"/>
          <w:rFonts w:hint="eastAsia" w:ascii="宋体" w:hAnsi="宋体" w:eastAsia="宋体" w:cs="宋体"/>
          <w:b/>
          <w:bCs w:val="0"/>
          <w:color w:val="000000"/>
          <w:sz w:val="24"/>
          <w:szCs w:val="24"/>
          <w:highlight w:val="none"/>
          <w:u w:val="single"/>
          <w:lang w:val="en-US" w:eastAsia="zh-CN"/>
        </w:rPr>
        <w:t>人民币</w:t>
      </w:r>
      <w:r>
        <w:rPr>
          <w:rStyle w:val="31"/>
          <w:rFonts w:hint="eastAsia" w:ascii="宋体" w:hAnsi="宋体" w:eastAsia="宋体" w:cs="宋体"/>
          <w:b/>
          <w:color w:val="000000"/>
          <w:sz w:val="24"/>
          <w:szCs w:val="24"/>
          <w:highlight w:val="none"/>
          <w:u w:val="single"/>
        </w:rPr>
        <w:t>叁仟元</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
          <w:color w:val="000000"/>
          <w:sz w:val="24"/>
          <w:szCs w:val="24"/>
          <w:highlight w:val="none"/>
          <w:u w:val="single"/>
          <w:lang w:val="en-US" w:eastAsia="zh-CN"/>
        </w:rPr>
        <w:t>公对公转账，报名期间缴纳</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Cs/>
          <w:sz w:val="24"/>
          <w:szCs w:val="24"/>
          <w:highlight w:val="none"/>
        </w:rPr>
        <w:t>。</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37BCB98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在交纳投标保证金后</w:t>
      </w:r>
      <w:r>
        <w:rPr>
          <w:rStyle w:val="31"/>
          <w:rFonts w:hint="eastAsia" w:ascii="宋体" w:hAnsi="宋体" w:eastAsia="宋体" w:cs="宋体"/>
          <w:bCs/>
          <w:sz w:val="24"/>
          <w:szCs w:val="24"/>
          <w:highlight w:val="none"/>
          <w:lang w:val="en-US" w:eastAsia="zh-CN"/>
        </w:rPr>
        <w:t>无故</w:t>
      </w:r>
      <w:r>
        <w:rPr>
          <w:rStyle w:val="31"/>
          <w:rFonts w:hint="eastAsia" w:ascii="宋体" w:hAnsi="宋体" w:eastAsia="宋体" w:cs="宋体"/>
          <w:bCs/>
          <w:sz w:val="24"/>
          <w:szCs w:val="24"/>
          <w:highlight w:val="none"/>
        </w:rPr>
        <w:t>放弃投标者；</w:t>
      </w:r>
    </w:p>
    <w:p w14:paraId="3865BD0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lang w:val="en-US" w:eastAsia="zh-CN"/>
        </w:rPr>
        <w:t>在开标时</w:t>
      </w:r>
      <w:r>
        <w:rPr>
          <w:rStyle w:val="31"/>
          <w:rFonts w:hint="eastAsia" w:ascii="宋体" w:hAnsi="宋体" w:eastAsia="宋体" w:cs="宋体"/>
          <w:bCs/>
          <w:sz w:val="24"/>
          <w:szCs w:val="24"/>
          <w:highlight w:val="none"/>
        </w:rPr>
        <w:t>中途退场、影响</w:t>
      </w:r>
      <w:r>
        <w:rPr>
          <w:rStyle w:val="31"/>
          <w:rFonts w:hint="eastAsia" w:ascii="宋体" w:hAnsi="宋体" w:eastAsia="宋体" w:cs="宋体"/>
          <w:bCs/>
          <w:sz w:val="24"/>
          <w:szCs w:val="24"/>
          <w:highlight w:val="none"/>
          <w:lang w:val="en-US" w:eastAsia="zh-CN"/>
        </w:rPr>
        <w:t>评标</w:t>
      </w:r>
      <w:r>
        <w:rPr>
          <w:rStyle w:val="31"/>
          <w:rFonts w:hint="eastAsia" w:ascii="宋体" w:hAnsi="宋体" w:eastAsia="宋体" w:cs="宋体"/>
          <w:bCs/>
          <w:sz w:val="24"/>
          <w:szCs w:val="24"/>
          <w:highlight w:val="none"/>
        </w:rPr>
        <w:t>正常进行者；</w:t>
      </w:r>
    </w:p>
    <w:p w14:paraId="490ECFE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3、中标</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未在规定期限内与</w:t>
      </w:r>
      <w:r>
        <w:rPr>
          <w:rStyle w:val="31"/>
          <w:rFonts w:hint="eastAsia" w:ascii="宋体" w:hAnsi="宋体" w:eastAsia="宋体" w:cs="宋体"/>
          <w:bCs/>
          <w:sz w:val="24"/>
          <w:szCs w:val="24"/>
          <w:highlight w:val="none"/>
          <w:lang w:val="en-US" w:eastAsia="zh-CN"/>
        </w:rPr>
        <w:t>招标人</w:t>
      </w:r>
      <w:r>
        <w:rPr>
          <w:rStyle w:val="31"/>
          <w:rFonts w:hint="eastAsia" w:ascii="宋体" w:hAnsi="宋体" w:eastAsia="宋体" w:cs="宋体"/>
          <w:bCs/>
          <w:sz w:val="24"/>
          <w:szCs w:val="24"/>
          <w:highlight w:val="none"/>
        </w:rPr>
        <w:t xml:space="preserve">签订合同； </w:t>
      </w:r>
    </w:p>
    <w:p w14:paraId="734C3296">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4、成交项目转让给他人的。</w:t>
      </w:r>
    </w:p>
    <w:p w14:paraId="23AC58F8">
      <w:pPr>
        <w:keepNext w:val="0"/>
        <w:keepLines w:val="0"/>
        <w:pageBreakBefore w:val="0"/>
        <w:kinsoku/>
        <w:wordWrap/>
        <w:overflowPunct/>
        <w:topLinePunct w:val="0"/>
        <w:bidi w:val="0"/>
        <w:snapToGrid w:val="0"/>
        <w:spacing w:line="360" w:lineRule="auto"/>
        <w:ind w:left="0" w:leftChars="0" w:right="0" w:firstLine="482"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
          <w:sz w:val="24"/>
          <w:szCs w:val="24"/>
          <w:highlight w:val="none"/>
          <w:u w:val="single"/>
        </w:rPr>
        <w:t>未中标</w:t>
      </w:r>
      <w:r>
        <w:rPr>
          <w:rStyle w:val="31"/>
          <w:rFonts w:hint="eastAsia" w:ascii="宋体" w:hAnsi="宋体" w:eastAsia="宋体" w:cs="宋体"/>
          <w:b/>
          <w:sz w:val="24"/>
          <w:szCs w:val="24"/>
          <w:highlight w:val="none"/>
          <w:u w:val="single"/>
          <w:lang w:val="en-US" w:eastAsia="zh-CN"/>
        </w:rPr>
        <w:t>投标人</w:t>
      </w:r>
      <w:r>
        <w:rPr>
          <w:rStyle w:val="31"/>
          <w:rFonts w:hint="eastAsia" w:ascii="宋体" w:hAnsi="宋体" w:eastAsia="宋体" w:cs="宋体"/>
          <w:b/>
          <w:sz w:val="24"/>
          <w:szCs w:val="24"/>
          <w:highlight w:val="none"/>
          <w:u w:val="single"/>
        </w:rPr>
        <w:t>在</w:t>
      </w:r>
      <w:r>
        <w:rPr>
          <w:rStyle w:val="31"/>
          <w:rFonts w:hint="eastAsia" w:ascii="宋体" w:hAnsi="宋体" w:eastAsia="宋体" w:cs="宋体"/>
          <w:b/>
          <w:sz w:val="24"/>
          <w:szCs w:val="24"/>
          <w:highlight w:val="none"/>
          <w:u w:val="single"/>
          <w:lang w:val="en-US" w:eastAsia="zh-CN"/>
        </w:rPr>
        <w:t>中标公告公示</w:t>
      </w:r>
      <w:r>
        <w:rPr>
          <w:rStyle w:val="31"/>
          <w:rFonts w:hint="eastAsia" w:ascii="宋体" w:hAnsi="宋体" w:eastAsia="宋体" w:cs="宋体"/>
          <w:b/>
          <w:sz w:val="24"/>
          <w:szCs w:val="24"/>
          <w:highlight w:val="none"/>
          <w:u w:val="single"/>
        </w:rPr>
        <w:t>结束后7天内无息全额退还</w:t>
      </w:r>
      <w:r>
        <w:rPr>
          <w:rStyle w:val="31"/>
          <w:rFonts w:hint="eastAsia" w:ascii="宋体" w:hAnsi="宋体" w:eastAsia="宋体" w:cs="宋体"/>
          <w:b/>
          <w:sz w:val="24"/>
          <w:szCs w:val="24"/>
          <w:highlight w:val="none"/>
          <w:u w:val="single"/>
          <w:lang w:eastAsia="zh-CN"/>
        </w:rPr>
        <w:t>。</w:t>
      </w:r>
      <w:r>
        <w:rPr>
          <w:rStyle w:val="31"/>
          <w:rFonts w:hint="eastAsia" w:ascii="宋体" w:hAnsi="宋体" w:eastAsia="宋体" w:cs="宋体"/>
          <w:bCs/>
          <w:sz w:val="24"/>
          <w:szCs w:val="24"/>
          <w:highlight w:val="none"/>
        </w:rPr>
        <w:t>中标</w:t>
      </w:r>
      <w:r>
        <w:rPr>
          <w:rStyle w:val="31"/>
          <w:rFonts w:hint="eastAsia" w:ascii="宋体" w:hAnsi="宋体" w:eastAsia="宋体" w:cs="宋体"/>
          <w:bCs/>
          <w:sz w:val="24"/>
          <w:szCs w:val="24"/>
          <w:highlight w:val="none"/>
          <w:lang w:val="en-US" w:eastAsia="zh-CN"/>
        </w:rPr>
        <w:t>人</w:t>
      </w:r>
      <w:r>
        <w:rPr>
          <w:rStyle w:val="31"/>
          <w:rFonts w:hint="eastAsia" w:ascii="宋体" w:hAnsi="宋体" w:eastAsia="宋体" w:cs="宋体"/>
          <w:bCs/>
          <w:sz w:val="24"/>
          <w:szCs w:val="24"/>
          <w:highlight w:val="none"/>
        </w:rPr>
        <w:t>的投标保证金</w:t>
      </w:r>
      <w:r>
        <w:rPr>
          <w:rStyle w:val="31"/>
          <w:rFonts w:hint="eastAsia" w:ascii="宋体" w:hAnsi="宋体" w:eastAsia="宋体" w:cs="宋体"/>
          <w:bCs/>
          <w:sz w:val="24"/>
          <w:szCs w:val="24"/>
          <w:highlight w:val="none"/>
          <w:lang w:val="en-US" w:eastAsia="zh-CN"/>
        </w:rPr>
        <w:t>在合同签订后7日内无息全额退还</w:t>
      </w:r>
      <w:r>
        <w:rPr>
          <w:rStyle w:val="31"/>
          <w:rFonts w:hint="eastAsia" w:ascii="宋体" w:hAnsi="宋体" w:eastAsia="宋体" w:cs="宋体"/>
          <w:bCs/>
          <w:sz w:val="24"/>
          <w:szCs w:val="24"/>
          <w:highlight w:val="none"/>
        </w:rPr>
        <w:t>。</w:t>
      </w:r>
    </w:p>
    <w:p w14:paraId="5D508C55">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14:paraId="2DB401EE">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87777D8">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0EA8B230">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7C8EB0BC">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79DC2746">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0CF92FC8">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26054F19">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5C949C21">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47885996">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4E5CE37A">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69D96690">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40A40D84">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00A15629">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5673229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14:paraId="003A9030">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eastAsia="宋体" w:cs="宋体"/>
          <w:b/>
          <w:color w:val="auto"/>
          <w:sz w:val="28"/>
          <w:szCs w:val="28"/>
          <w:highlight w:val="none"/>
          <w:lang w:eastAsia="zh-CN"/>
        </w:rPr>
        <w:t>SZRFYZB202409-169</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14:paraId="4212F404">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00B7164F">
      <w:pPr>
        <w:pStyle w:val="16"/>
        <w:pageBreakBefore w:val="0"/>
        <w:kinsoku/>
        <w:wordWrap/>
        <w:overflowPunct/>
        <w:topLinePunct w:val="0"/>
        <w:bidi w:val="0"/>
        <w:spacing w:line="360" w:lineRule="auto"/>
        <w:ind w:left="0" w:leftChars="0"/>
        <w:jc w:val="both"/>
        <w:textAlignment w:val="auto"/>
        <w:rPr>
          <w:rStyle w:val="31"/>
          <w:rFonts w:hint="eastAsia" w:ascii="宋体" w:hAnsi="宋体" w:eastAsia="宋体" w:cs="宋体"/>
          <w:color w:val="000000"/>
          <w:kern w:val="0"/>
          <w:sz w:val="24"/>
          <w:szCs w:val="24"/>
          <w:highlight w:val="none"/>
        </w:rPr>
      </w:pPr>
    </w:p>
    <w:p w14:paraId="38E5569F">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0E44DAE7">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3A4D884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52"/>
          <w:szCs w:val="52"/>
          <w:highlight w:val="none"/>
          <w:lang w:val="en-US"/>
        </w:rPr>
      </w:pPr>
      <w:r>
        <w:rPr>
          <w:rStyle w:val="31"/>
          <w:rFonts w:hint="eastAsia" w:ascii="宋体" w:hAnsi="宋体" w:eastAsia="宋体" w:cs="宋体"/>
          <w:b/>
          <w:sz w:val="52"/>
          <w:szCs w:val="52"/>
          <w:highlight w:val="none"/>
          <w:lang w:val="en-US" w:eastAsia="zh-CN"/>
        </w:rPr>
        <w:t>2024-2025年度零星家具供货商遴选项目</w:t>
      </w:r>
    </w:p>
    <w:p w14:paraId="300CE60B">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color w:val="000000"/>
          <w:kern w:val="0"/>
          <w:sz w:val="52"/>
          <w:szCs w:val="52"/>
          <w:highlight w:val="none"/>
        </w:rPr>
      </w:pPr>
    </w:p>
    <w:p w14:paraId="4A398C81">
      <w:pPr>
        <w:keepNext w:val="0"/>
        <w:keepLines w:val="0"/>
        <w:pageBreakBefore w:val="0"/>
        <w:shd w:val="clear" w:color="auto" w:fill="FFFFFF"/>
        <w:kinsoku/>
        <w:wordWrap/>
        <w:overflowPunct/>
        <w:topLinePunct w:val="0"/>
        <w:bidi w:val="0"/>
        <w:spacing w:line="360" w:lineRule="auto"/>
        <w:ind w:right="0"/>
        <w:jc w:val="both"/>
        <w:textAlignment w:val="auto"/>
        <w:rPr>
          <w:rStyle w:val="31"/>
          <w:rFonts w:hint="eastAsia" w:ascii="宋体" w:hAnsi="宋体" w:eastAsia="宋体" w:cs="宋体"/>
          <w:color w:val="000000"/>
          <w:kern w:val="0"/>
          <w:sz w:val="52"/>
          <w:szCs w:val="52"/>
          <w:highlight w:val="none"/>
        </w:rPr>
      </w:pPr>
    </w:p>
    <w:p w14:paraId="1494E94D">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14:paraId="70B61F8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69E2E56">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21C5198">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64FB0B9E">
      <w:pPr>
        <w:pStyle w:val="2"/>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14:paraId="38F4DD52">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387F2824">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14:paraId="5295F0E1">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14:paraId="413D5E7B">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1"/>
          <w:rFonts w:hint="eastAsia" w:ascii="宋体" w:hAnsi="宋体" w:eastAsia="宋体" w:cs="宋体"/>
          <w:b/>
          <w:sz w:val="28"/>
          <w:szCs w:val="28"/>
          <w:highlight w:val="none"/>
        </w:rPr>
        <w:t>时      间：</w:t>
      </w:r>
      <w:r>
        <w:rPr>
          <w:rStyle w:val="31"/>
          <w:rFonts w:hint="eastAsia" w:ascii="宋体" w:hAnsi="宋体" w:eastAsia="宋体" w:cs="宋体"/>
          <w:b/>
          <w:sz w:val="24"/>
          <w:szCs w:val="24"/>
          <w:highlight w:val="none"/>
        </w:rPr>
        <w:t xml:space="preserve">              </w:t>
      </w:r>
    </w:p>
    <w:p w14:paraId="7C874CC9">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4B25C4C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p>
    <w:p w14:paraId="284FA71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color w:val="000000"/>
          <w:kern w:val="0"/>
          <w:sz w:val="36"/>
          <w:szCs w:val="36"/>
          <w:highlight w:val="none"/>
        </w:rPr>
      </w:pPr>
      <w:r>
        <w:rPr>
          <w:rStyle w:val="31"/>
          <w:rFonts w:hint="eastAsia" w:ascii="宋体" w:hAnsi="宋体" w:eastAsia="宋体" w:cs="宋体"/>
          <w:b/>
          <w:bCs/>
          <w:color w:val="000000"/>
          <w:kern w:val="0"/>
          <w:sz w:val="36"/>
          <w:szCs w:val="36"/>
          <w:highlight w:val="none"/>
        </w:rPr>
        <w:t>目</w:t>
      </w:r>
      <w:r>
        <w:rPr>
          <w:rStyle w:val="31"/>
          <w:rFonts w:hint="eastAsia" w:ascii="宋体" w:hAnsi="宋体" w:eastAsia="宋体" w:cs="宋体"/>
          <w:b/>
          <w:bCs/>
          <w:color w:val="000000"/>
          <w:kern w:val="0"/>
          <w:sz w:val="36"/>
          <w:szCs w:val="36"/>
          <w:highlight w:val="none"/>
          <w:lang w:val="en-US" w:eastAsia="zh-CN"/>
        </w:rPr>
        <w:t xml:space="preserve">  </w:t>
      </w:r>
      <w:r>
        <w:rPr>
          <w:rStyle w:val="31"/>
          <w:rFonts w:hint="eastAsia" w:ascii="宋体" w:hAnsi="宋体" w:eastAsia="宋体" w:cs="宋体"/>
          <w:b/>
          <w:bCs/>
          <w:color w:val="000000"/>
          <w:kern w:val="0"/>
          <w:sz w:val="36"/>
          <w:szCs w:val="36"/>
          <w:highlight w:val="none"/>
        </w:rPr>
        <w:t>录</w:t>
      </w:r>
    </w:p>
    <w:p w14:paraId="54CE0BA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14:paraId="0C75C33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第一部分：</w:t>
      </w:r>
      <w:r>
        <w:rPr>
          <w:rStyle w:val="31"/>
          <w:rFonts w:hint="eastAsia" w:ascii="宋体" w:hAnsi="宋体" w:eastAsia="宋体" w:cs="宋体"/>
          <w:color w:val="000000"/>
          <w:kern w:val="0"/>
          <w:sz w:val="28"/>
          <w:szCs w:val="28"/>
          <w:highlight w:val="none"/>
          <w:lang w:val="en-US" w:eastAsia="zh-CN"/>
        </w:rPr>
        <w:t>投标</w:t>
      </w:r>
      <w:r>
        <w:rPr>
          <w:rStyle w:val="31"/>
          <w:rFonts w:hint="eastAsia" w:ascii="宋体" w:hAnsi="宋体" w:eastAsia="宋体" w:cs="宋体"/>
          <w:color w:val="000000"/>
          <w:kern w:val="0"/>
          <w:sz w:val="28"/>
          <w:szCs w:val="28"/>
          <w:highlight w:val="none"/>
        </w:rPr>
        <w:t>函</w:t>
      </w:r>
    </w:p>
    <w:p w14:paraId="4ED0B26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第二部分：</w:t>
      </w:r>
      <w:r>
        <w:rPr>
          <w:rStyle w:val="31"/>
          <w:rFonts w:hint="eastAsia" w:ascii="宋体" w:hAnsi="宋体" w:eastAsia="宋体" w:cs="宋体"/>
          <w:color w:val="000000"/>
          <w:kern w:val="0"/>
          <w:sz w:val="28"/>
          <w:szCs w:val="28"/>
          <w:highlight w:val="none"/>
          <w:lang w:eastAsia="zh-CN"/>
        </w:rPr>
        <w:t>报</w:t>
      </w:r>
      <w:r>
        <w:rPr>
          <w:rStyle w:val="31"/>
          <w:rFonts w:hint="eastAsia" w:ascii="宋体" w:hAnsi="宋体" w:eastAsia="宋体" w:cs="宋体"/>
          <w:color w:val="000000"/>
          <w:kern w:val="0"/>
          <w:sz w:val="28"/>
          <w:szCs w:val="28"/>
          <w:highlight w:val="none"/>
        </w:rPr>
        <w:t>价表</w:t>
      </w:r>
    </w:p>
    <w:p w14:paraId="305DC85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rPr>
        <w:t>第三部分：</w:t>
      </w:r>
      <w:r>
        <w:rPr>
          <w:rStyle w:val="31"/>
          <w:rFonts w:hint="eastAsia" w:ascii="宋体" w:hAnsi="宋体" w:eastAsia="宋体" w:cs="宋体"/>
          <w:color w:val="000000"/>
          <w:kern w:val="0"/>
          <w:sz w:val="28"/>
          <w:szCs w:val="28"/>
          <w:highlight w:val="none"/>
          <w:lang w:eastAsia="zh-CN"/>
        </w:rPr>
        <w:t>商务和技术偏差表</w:t>
      </w:r>
    </w:p>
    <w:p w14:paraId="593EE5F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第四部分：</w:t>
      </w:r>
      <w:r>
        <w:rPr>
          <w:rStyle w:val="31"/>
          <w:rFonts w:hint="eastAsia" w:ascii="宋体" w:hAnsi="宋体" w:eastAsia="宋体" w:cs="宋体"/>
          <w:color w:val="000000"/>
          <w:kern w:val="0"/>
          <w:sz w:val="28"/>
          <w:szCs w:val="28"/>
          <w:highlight w:val="none"/>
        </w:rPr>
        <w:t>法定代表人（单位负责人）身份证明</w:t>
      </w:r>
    </w:p>
    <w:p w14:paraId="51AA60C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lang w:eastAsia="zh-CN"/>
        </w:rPr>
        <w:t>第</w:t>
      </w:r>
      <w:r>
        <w:rPr>
          <w:rStyle w:val="31"/>
          <w:rFonts w:hint="eastAsia" w:ascii="宋体" w:hAnsi="宋体" w:eastAsia="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eastAsia="zh-CN"/>
        </w:rPr>
        <w:t>部分：</w:t>
      </w:r>
      <w:r>
        <w:rPr>
          <w:rStyle w:val="31"/>
          <w:rFonts w:hint="eastAsia" w:ascii="宋体" w:hAnsi="宋体" w:eastAsia="宋体" w:cs="宋体"/>
          <w:color w:val="000000"/>
          <w:kern w:val="0"/>
          <w:sz w:val="28"/>
          <w:szCs w:val="28"/>
          <w:highlight w:val="none"/>
        </w:rPr>
        <w:t>法定代表人授权</w:t>
      </w:r>
      <w:r>
        <w:rPr>
          <w:rStyle w:val="31"/>
          <w:rFonts w:hint="eastAsia" w:ascii="宋体" w:hAnsi="宋体" w:eastAsia="宋体" w:cs="宋体"/>
          <w:color w:val="000000"/>
          <w:kern w:val="0"/>
          <w:sz w:val="28"/>
          <w:szCs w:val="28"/>
          <w:highlight w:val="none"/>
          <w:lang w:val="en-US" w:eastAsia="zh-CN"/>
        </w:rPr>
        <w:t>委托</w:t>
      </w:r>
      <w:r>
        <w:rPr>
          <w:rStyle w:val="31"/>
          <w:rFonts w:hint="eastAsia" w:ascii="宋体" w:hAnsi="宋体" w:eastAsia="宋体" w:cs="宋体"/>
          <w:color w:val="000000"/>
          <w:kern w:val="0"/>
          <w:sz w:val="28"/>
          <w:szCs w:val="28"/>
          <w:highlight w:val="none"/>
        </w:rPr>
        <w:t>书</w:t>
      </w:r>
    </w:p>
    <w:p w14:paraId="7C235B7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六</w:t>
      </w:r>
      <w:r>
        <w:rPr>
          <w:rStyle w:val="31"/>
          <w:rFonts w:hint="eastAsia" w:ascii="宋体" w:hAnsi="宋体" w:eastAsia="宋体" w:cs="宋体"/>
          <w:color w:val="000000"/>
          <w:kern w:val="0"/>
          <w:sz w:val="28"/>
          <w:szCs w:val="28"/>
          <w:highlight w:val="none"/>
        </w:rPr>
        <w:t>部分：资格证明文件</w:t>
      </w:r>
    </w:p>
    <w:p w14:paraId="30AC79B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七</w:t>
      </w:r>
      <w:r>
        <w:rPr>
          <w:rStyle w:val="31"/>
          <w:rFonts w:hint="eastAsia" w:ascii="宋体" w:hAnsi="宋体" w:eastAsia="宋体" w:cs="宋体"/>
          <w:color w:val="000000"/>
          <w:kern w:val="0"/>
          <w:sz w:val="28"/>
          <w:szCs w:val="28"/>
          <w:highlight w:val="none"/>
        </w:rPr>
        <w:t>部分：技术响应及其他相关情况</w:t>
      </w:r>
    </w:p>
    <w:p w14:paraId="201AADD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八</w:t>
      </w:r>
      <w:r>
        <w:rPr>
          <w:rStyle w:val="31"/>
          <w:rFonts w:hint="eastAsia" w:ascii="宋体" w:hAnsi="宋体" w:eastAsia="宋体" w:cs="宋体"/>
          <w:color w:val="000000"/>
          <w:kern w:val="0"/>
          <w:sz w:val="28"/>
          <w:szCs w:val="28"/>
          <w:highlight w:val="none"/>
        </w:rPr>
        <w:t>部分：</w:t>
      </w:r>
      <w:r>
        <w:rPr>
          <w:rStyle w:val="31"/>
          <w:rFonts w:hint="eastAsia" w:ascii="宋体" w:hAnsi="宋体" w:eastAsia="宋体" w:cs="宋体"/>
          <w:color w:val="000000"/>
          <w:kern w:val="0"/>
          <w:sz w:val="28"/>
          <w:szCs w:val="28"/>
          <w:highlight w:val="none"/>
          <w:lang w:eastAsia="zh-CN"/>
        </w:rPr>
        <w:t>投标人</w:t>
      </w:r>
      <w:r>
        <w:rPr>
          <w:rStyle w:val="31"/>
          <w:rFonts w:hint="eastAsia" w:ascii="宋体" w:hAnsi="宋体" w:eastAsia="宋体" w:cs="宋体"/>
          <w:color w:val="000000"/>
          <w:kern w:val="0"/>
          <w:sz w:val="28"/>
          <w:szCs w:val="28"/>
          <w:highlight w:val="none"/>
        </w:rPr>
        <w:t>拒绝商业贿赂承诺书</w:t>
      </w:r>
    </w:p>
    <w:p w14:paraId="2A35DB9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Fonts w:hint="eastAsia" w:ascii="宋体" w:hAnsi="宋体" w:eastAsia="宋体" w:cs="宋体"/>
          <w:sz w:val="28"/>
          <w:szCs w:val="28"/>
          <w:highlight w:val="none"/>
          <w:lang w:val="en-US" w:eastAsia="zh-CN"/>
        </w:rPr>
      </w:pPr>
      <w:r>
        <w:rPr>
          <w:rStyle w:val="31"/>
          <w:rFonts w:hint="eastAsia" w:ascii="宋体" w:hAnsi="宋体" w:eastAsia="宋体" w:cs="宋体"/>
          <w:color w:val="000000"/>
          <w:kern w:val="0"/>
          <w:sz w:val="28"/>
          <w:szCs w:val="28"/>
          <w:highlight w:val="none"/>
          <w:lang w:val="en-US" w:eastAsia="zh-CN"/>
        </w:rPr>
        <w:t>第九部分：对招标文件及合同条款的承诺及补充意见</w:t>
      </w:r>
    </w:p>
    <w:p w14:paraId="0DED277F">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01381E45">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6D96BC9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C7A976C">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0534415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2CADE95">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07DBEB1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5C0B8BFB">
      <w:pPr>
        <w:pStyle w:val="16"/>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14:paraId="06407210">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546D3EC2">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410DB92B">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16C90E05">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77D748BB">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7167562F">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7EAFD4FD">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p>
    <w:p w14:paraId="4C74A5B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sz w:val="32"/>
          <w:szCs w:val="32"/>
          <w:highlight w:val="none"/>
        </w:rPr>
      </w:pPr>
      <w:r>
        <w:rPr>
          <w:rStyle w:val="31"/>
          <w:rFonts w:hint="eastAsia" w:ascii="宋体" w:hAnsi="宋体" w:eastAsia="宋体" w:cs="宋体"/>
          <w:b/>
          <w:color w:val="000000"/>
          <w:kern w:val="0"/>
          <w:sz w:val="32"/>
          <w:szCs w:val="32"/>
          <w:highlight w:val="none"/>
        </w:rPr>
        <w:t>第一部分</w:t>
      </w:r>
      <w:r>
        <w:rPr>
          <w:rStyle w:val="31"/>
          <w:rFonts w:hint="eastAsia" w:ascii="宋体" w:hAnsi="宋体" w:eastAsia="宋体" w:cs="宋体"/>
          <w:b/>
          <w:color w:val="000000"/>
          <w:kern w:val="0"/>
          <w:sz w:val="32"/>
          <w:szCs w:val="32"/>
          <w:highlight w:val="none"/>
          <w:lang w:val="en-US" w:eastAsia="zh-CN"/>
        </w:rPr>
        <w:t xml:space="preserve">  投标</w:t>
      </w:r>
      <w:r>
        <w:rPr>
          <w:rStyle w:val="31"/>
          <w:rFonts w:hint="eastAsia" w:ascii="宋体" w:hAnsi="宋体" w:eastAsia="宋体" w:cs="宋体"/>
          <w:b/>
          <w:color w:val="000000"/>
          <w:kern w:val="0"/>
          <w:sz w:val="32"/>
          <w:szCs w:val="32"/>
          <w:highlight w:val="none"/>
        </w:rPr>
        <w:t>函</w:t>
      </w:r>
    </w:p>
    <w:p w14:paraId="71D94457">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1"/>
          <w:rFonts w:hint="eastAsia" w:ascii="宋体" w:hAnsi="宋体" w:eastAsia="宋体" w:cs="宋体"/>
          <w:b/>
          <w:bCs/>
          <w:sz w:val="24"/>
          <w:szCs w:val="24"/>
          <w:highlight w:val="none"/>
        </w:rPr>
      </w:pPr>
      <w:r>
        <w:rPr>
          <w:rStyle w:val="31"/>
          <w:rFonts w:hint="eastAsia" w:ascii="宋体" w:hAnsi="宋体" w:eastAsia="宋体" w:cs="宋体"/>
          <w:b/>
          <w:bCs/>
          <w:sz w:val="24"/>
          <w:szCs w:val="24"/>
          <w:highlight w:val="none"/>
        </w:rPr>
        <w:t>陕西中医药大学第二附属医院：</w:t>
      </w:r>
    </w:p>
    <w:p w14:paraId="59C21658">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收到 （项目名称：陕西中医药大学第二附属医院</w:t>
      </w:r>
      <w:r>
        <w:rPr>
          <w:rStyle w:val="31"/>
          <w:rFonts w:hint="eastAsia" w:ascii="宋体" w:hAnsi="宋体" w:eastAsia="宋体" w:cs="宋体"/>
          <w:sz w:val="24"/>
          <w:szCs w:val="24"/>
          <w:highlight w:val="none"/>
          <w:lang w:val="en-US" w:eastAsia="zh-CN"/>
        </w:rPr>
        <w:t>2024-2025年度零星家具供货商遴选项目</w:t>
      </w:r>
      <w:r>
        <w:rPr>
          <w:rStyle w:val="31"/>
          <w:rFonts w:hint="eastAsia" w:ascii="宋体" w:hAnsi="宋体" w:eastAsia="宋体" w:cs="宋体"/>
          <w:sz w:val="24"/>
          <w:szCs w:val="24"/>
          <w:highlight w:val="none"/>
        </w:rPr>
        <w:t>；项目编号：</w:t>
      </w:r>
      <w:r>
        <w:rPr>
          <w:rStyle w:val="31"/>
          <w:rFonts w:hint="eastAsia" w:ascii="宋体" w:hAnsi="宋体" w:eastAsia="宋体" w:cs="宋体"/>
          <w:sz w:val="24"/>
          <w:szCs w:val="24"/>
          <w:highlight w:val="none"/>
          <w:lang w:eastAsia="zh-CN"/>
        </w:rPr>
        <w:t>SZRFYZB20240</w:t>
      </w:r>
      <w:r>
        <w:rPr>
          <w:rStyle w:val="31"/>
          <w:rFonts w:hint="eastAsia" w:ascii="宋体" w:hAnsi="宋体" w:cs="宋体"/>
          <w:sz w:val="24"/>
          <w:szCs w:val="24"/>
          <w:highlight w:val="none"/>
          <w:lang w:val="en-US" w:eastAsia="zh-CN"/>
        </w:rPr>
        <w:t>9</w:t>
      </w:r>
      <w:r>
        <w:rPr>
          <w:rStyle w:val="31"/>
          <w:rFonts w:hint="eastAsia" w:ascii="宋体" w:hAnsi="宋体" w:eastAsia="宋体" w:cs="宋体"/>
          <w:sz w:val="24"/>
          <w:szCs w:val="24"/>
          <w:highlight w:val="none"/>
          <w:lang w:eastAsia="zh-CN"/>
        </w:rPr>
        <w:t>-</w:t>
      </w:r>
      <w:r>
        <w:rPr>
          <w:rStyle w:val="31"/>
          <w:rFonts w:hint="eastAsia" w:ascii="宋体" w:hAnsi="宋体" w:cs="宋体"/>
          <w:sz w:val="24"/>
          <w:szCs w:val="24"/>
          <w:highlight w:val="none"/>
          <w:lang w:val="en-US" w:eastAsia="zh-CN"/>
        </w:rPr>
        <w:t>169</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公开招标文件</w:t>
      </w:r>
      <w:r>
        <w:rPr>
          <w:rStyle w:val="31"/>
          <w:rFonts w:hint="eastAsia" w:ascii="宋体" w:hAnsi="宋体" w:eastAsia="宋体" w:cs="宋体"/>
          <w:sz w:val="24"/>
          <w:szCs w:val="24"/>
          <w:highlight w:val="none"/>
        </w:rPr>
        <w:t>，经我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详细研究，决定参加本项目的</w:t>
      </w:r>
      <w:r>
        <w:rPr>
          <w:rStyle w:val="31"/>
          <w:rFonts w:hint="eastAsia" w:ascii="宋体" w:hAnsi="宋体" w:eastAsia="宋体" w:cs="宋体"/>
          <w:sz w:val="24"/>
          <w:szCs w:val="24"/>
          <w:highlight w:val="none"/>
          <w:lang w:eastAsia="zh-CN"/>
        </w:rPr>
        <w:t>招标</w:t>
      </w:r>
      <w:r>
        <w:rPr>
          <w:rStyle w:val="31"/>
          <w:rFonts w:hint="eastAsia" w:ascii="宋体" w:hAnsi="宋体" w:eastAsia="宋体" w:cs="宋体"/>
          <w:sz w:val="24"/>
          <w:szCs w:val="24"/>
          <w:highlight w:val="none"/>
        </w:rPr>
        <w:t>活动。为此，我</w:t>
      </w:r>
      <w:r>
        <w:rPr>
          <w:rStyle w:val="31"/>
          <w:rFonts w:hint="eastAsia" w:ascii="宋体" w:hAnsi="宋体" w:eastAsia="宋体" w:cs="宋体"/>
          <w:sz w:val="24"/>
          <w:szCs w:val="24"/>
          <w:highlight w:val="none"/>
          <w:lang w:val="en-US" w:eastAsia="zh-CN"/>
        </w:rPr>
        <w:t>单位进行</w:t>
      </w:r>
      <w:r>
        <w:rPr>
          <w:rStyle w:val="31"/>
          <w:rFonts w:hint="eastAsia" w:ascii="宋体" w:hAnsi="宋体" w:eastAsia="宋体" w:cs="宋体"/>
          <w:sz w:val="24"/>
          <w:szCs w:val="24"/>
          <w:highlight w:val="none"/>
        </w:rPr>
        <w:t>郑重声明，并愿意承担相应的法律责任</w:t>
      </w:r>
      <w:r>
        <w:rPr>
          <w:rStyle w:val="31"/>
          <w:rFonts w:hint="eastAsia" w:ascii="宋体" w:hAnsi="宋体" w:eastAsia="宋体" w:cs="宋体"/>
          <w:sz w:val="24"/>
          <w:szCs w:val="24"/>
          <w:highlight w:val="none"/>
          <w:lang w:eastAsia="zh-CN"/>
        </w:rPr>
        <w:t>：</w:t>
      </w:r>
    </w:p>
    <w:p w14:paraId="60784ED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lang w:val="en-US" w:eastAsia="zh-CN"/>
        </w:rPr>
        <w:t>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中的一切要求，提供相应服务</w:t>
      </w:r>
      <w:r>
        <w:rPr>
          <w:rStyle w:val="31"/>
          <w:rFonts w:hint="eastAsia" w:ascii="宋体" w:hAnsi="宋体" w:eastAsia="宋体" w:cs="宋体"/>
          <w:sz w:val="24"/>
          <w:szCs w:val="24"/>
          <w:highlight w:val="none"/>
          <w:lang w:val="en-US" w:eastAsia="zh-CN"/>
        </w:rPr>
        <w:t>及</w:t>
      </w:r>
      <w:r>
        <w:rPr>
          <w:rStyle w:val="31"/>
          <w:rFonts w:hint="eastAsia" w:ascii="宋体" w:hAnsi="宋体" w:eastAsia="宋体" w:cs="宋体"/>
          <w:sz w:val="24"/>
          <w:szCs w:val="24"/>
          <w:highlight w:val="none"/>
        </w:rPr>
        <w:t>完成合同的责任和义务。</w:t>
      </w:r>
    </w:p>
    <w:p w14:paraId="12DE34B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2.</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提交的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为正本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份，副本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r>
        <w:rPr>
          <w:rStyle w:val="31"/>
          <w:rFonts w:hint="eastAsia" w:ascii="宋体" w:hAnsi="宋体" w:eastAsia="宋体" w:cs="宋体"/>
          <w:sz w:val="24"/>
          <w:szCs w:val="24"/>
          <w:highlight w:val="none"/>
          <w:lang w:val="en-US" w:eastAsia="zh-CN"/>
        </w:rPr>
        <w:t>电子版投标文件</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p>
    <w:p w14:paraId="0E6AB1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3.</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已详细阅读了本项目</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，完全理解并同意放弃提出含糊不清和误解问题的权力。</w:t>
      </w:r>
    </w:p>
    <w:p w14:paraId="1D7EF4B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4.</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在规定的</w:t>
      </w:r>
      <w:r>
        <w:rPr>
          <w:rStyle w:val="31"/>
          <w:rFonts w:hint="eastAsia" w:ascii="宋体" w:hAnsi="宋体" w:eastAsia="宋体" w:cs="宋体"/>
          <w:sz w:val="24"/>
          <w:szCs w:val="24"/>
          <w:highlight w:val="none"/>
          <w:lang w:val="en-US" w:eastAsia="zh-CN"/>
        </w:rPr>
        <w:t>投标文件</w:t>
      </w:r>
      <w:r>
        <w:rPr>
          <w:rStyle w:val="31"/>
          <w:rFonts w:hint="eastAsia" w:ascii="宋体" w:hAnsi="宋体" w:eastAsia="宋体" w:cs="宋体"/>
          <w:sz w:val="24"/>
          <w:szCs w:val="24"/>
          <w:highlight w:val="none"/>
        </w:rPr>
        <w:t>有效期内撤回响应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及承诺，</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的保证金将被贵方没收。</w:t>
      </w:r>
    </w:p>
    <w:p w14:paraId="6EBB9EE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5.</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同意向贵</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提供可能要求的、与本次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有关的任何证据资料。</w:t>
      </w:r>
    </w:p>
    <w:p w14:paraId="07A5DAF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6.</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在</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截止递交时间之后</w:t>
      </w:r>
      <w:r>
        <w:rPr>
          <w:rStyle w:val="31"/>
          <w:rFonts w:hint="eastAsia" w:ascii="宋体" w:hAnsi="宋体" w:eastAsia="宋体" w:cs="宋体"/>
          <w:sz w:val="24"/>
          <w:szCs w:val="24"/>
          <w:highlight w:val="none"/>
          <w:u w:val="single"/>
        </w:rPr>
        <w:t xml:space="preserve">   </w:t>
      </w:r>
      <w:r>
        <w:rPr>
          <w:rStyle w:val="31"/>
          <w:rFonts w:hint="eastAsia" w:ascii="宋体" w:hAnsi="宋体" w:eastAsia="宋体" w:cs="宋体"/>
          <w:sz w:val="24"/>
          <w:szCs w:val="24"/>
          <w:highlight w:val="none"/>
        </w:rPr>
        <w:t>天有效。</w:t>
      </w:r>
    </w:p>
    <w:p w14:paraId="6D08E90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7.</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完全接受并响应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、答疑文件、评审办法、采购预算及限价等关于本项目相关文件的要求，严格遵守</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过程的时间安排、程序安排等细节，对此无任何异议。</w:t>
      </w:r>
    </w:p>
    <w:p w14:paraId="0B30AF2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9.所有关于本次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的函电，请按下列地址联系：</w:t>
      </w:r>
    </w:p>
    <w:p w14:paraId="283A8EE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lang w:eastAsia="zh-CN"/>
        </w:rPr>
        <w:t>投标人</w:t>
      </w:r>
      <w:r>
        <w:rPr>
          <w:rStyle w:val="31"/>
          <w:rFonts w:hint="eastAsia" w:ascii="宋体" w:hAnsi="宋体" w:eastAsia="宋体" w:cs="宋体"/>
          <w:sz w:val="24"/>
          <w:szCs w:val="24"/>
          <w:highlight w:val="none"/>
        </w:rPr>
        <w:t>名称（盖章）：</w:t>
      </w:r>
      <w:r>
        <w:rPr>
          <w:rStyle w:val="31"/>
          <w:rFonts w:hint="eastAsia" w:ascii="宋体" w:hAnsi="宋体" w:eastAsia="宋体" w:cs="宋体"/>
          <w:sz w:val="24"/>
          <w:szCs w:val="24"/>
          <w:highlight w:val="none"/>
          <w:u w:val="single"/>
        </w:rPr>
        <w:t xml:space="preserve">                             </w:t>
      </w:r>
    </w:p>
    <w:p w14:paraId="598DA5F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地    址：</w:t>
      </w:r>
      <w:r>
        <w:rPr>
          <w:rStyle w:val="31"/>
          <w:rFonts w:hint="eastAsia" w:ascii="宋体" w:hAnsi="宋体" w:eastAsia="宋体" w:cs="宋体"/>
          <w:sz w:val="24"/>
          <w:szCs w:val="24"/>
          <w:highlight w:val="none"/>
          <w:u w:val="single"/>
        </w:rPr>
        <w:t xml:space="preserve">                                       </w:t>
      </w:r>
    </w:p>
    <w:p w14:paraId="66CD11F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开户银行：</w:t>
      </w:r>
      <w:r>
        <w:rPr>
          <w:rStyle w:val="31"/>
          <w:rFonts w:hint="eastAsia" w:ascii="宋体" w:hAnsi="宋体" w:eastAsia="宋体" w:cs="宋体"/>
          <w:sz w:val="24"/>
          <w:szCs w:val="24"/>
          <w:highlight w:val="none"/>
          <w:u w:val="single"/>
        </w:rPr>
        <w:t xml:space="preserve">                                       </w:t>
      </w:r>
    </w:p>
    <w:p w14:paraId="08A8E1F9">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帐    号：</w:t>
      </w:r>
      <w:r>
        <w:rPr>
          <w:rStyle w:val="31"/>
          <w:rFonts w:hint="eastAsia" w:ascii="宋体" w:hAnsi="宋体" w:eastAsia="宋体" w:cs="宋体"/>
          <w:sz w:val="24"/>
          <w:szCs w:val="24"/>
          <w:highlight w:val="none"/>
          <w:u w:val="single"/>
        </w:rPr>
        <w:t xml:space="preserve">                                       </w:t>
      </w:r>
    </w:p>
    <w:p w14:paraId="7CAE0DE2">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电    话：</w:t>
      </w:r>
      <w:r>
        <w:rPr>
          <w:rStyle w:val="31"/>
          <w:rFonts w:hint="eastAsia" w:ascii="宋体" w:hAnsi="宋体" w:eastAsia="宋体" w:cs="宋体"/>
          <w:sz w:val="24"/>
          <w:szCs w:val="24"/>
          <w:highlight w:val="none"/>
          <w:u w:val="single"/>
        </w:rPr>
        <w:t xml:space="preserve">                                       </w:t>
      </w:r>
    </w:p>
    <w:p w14:paraId="591187C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传    真：</w:t>
      </w:r>
      <w:r>
        <w:rPr>
          <w:rStyle w:val="31"/>
          <w:rFonts w:hint="eastAsia" w:ascii="宋体" w:hAnsi="宋体" w:eastAsia="宋体" w:cs="宋体"/>
          <w:sz w:val="24"/>
          <w:szCs w:val="24"/>
          <w:highlight w:val="none"/>
          <w:u w:val="single"/>
        </w:rPr>
        <w:t xml:space="preserve">                                       </w:t>
      </w:r>
    </w:p>
    <w:p w14:paraId="404E288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邮    编：</w:t>
      </w:r>
      <w:r>
        <w:rPr>
          <w:rStyle w:val="31"/>
          <w:rFonts w:hint="eastAsia" w:ascii="宋体" w:hAnsi="宋体" w:eastAsia="宋体" w:cs="宋体"/>
          <w:sz w:val="24"/>
          <w:szCs w:val="24"/>
          <w:highlight w:val="none"/>
          <w:u w:val="single"/>
        </w:rPr>
        <w:t xml:space="preserve">                                       </w:t>
      </w:r>
    </w:p>
    <w:p w14:paraId="1EE59676">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授权代表：</w:t>
      </w:r>
      <w:r>
        <w:rPr>
          <w:rStyle w:val="31"/>
          <w:rFonts w:hint="eastAsia" w:ascii="宋体" w:hAnsi="宋体" w:eastAsia="宋体" w:cs="宋体"/>
          <w:sz w:val="24"/>
          <w:szCs w:val="24"/>
          <w:highlight w:val="none"/>
          <w:u w:val="single"/>
        </w:rPr>
        <w:t xml:space="preserve">                                       </w:t>
      </w:r>
    </w:p>
    <w:p w14:paraId="055013B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p>
    <w:p w14:paraId="53D1328B">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Fonts w:hint="eastAsia" w:ascii="宋体" w:hAnsi="宋体" w:eastAsia="宋体" w:cs="宋体"/>
          <w:b/>
          <w:bCs/>
          <w:sz w:val="24"/>
          <w:szCs w:val="24"/>
          <w:highlight w:val="none"/>
        </w:rPr>
      </w:pPr>
      <w:r>
        <w:rPr>
          <w:rStyle w:val="31"/>
          <w:rFonts w:hint="eastAsia" w:ascii="宋体" w:hAnsi="宋体" w:eastAsia="宋体" w:cs="宋体"/>
          <w:sz w:val="24"/>
          <w:szCs w:val="24"/>
          <w:highlight w:val="none"/>
        </w:rPr>
        <w:t>年  月  日</w:t>
      </w:r>
    </w:p>
    <w:p w14:paraId="672EFACE">
      <w:pPr>
        <w:keepNext w:val="0"/>
        <w:keepLines w:val="0"/>
        <w:pageBreakBefore w:val="0"/>
        <w:numPr>
          <w:ilvl w:val="0"/>
          <w:numId w:val="1"/>
        </w:numPr>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报价表</w:t>
      </w:r>
    </w:p>
    <w:p w14:paraId="2B337DD0">
      <w:pPr>
        <w:pStyle w:val="2"/>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14:paraId="72B268C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Cs/>
          <w:sz w:val="24"/>
          <w:szCs w:val="24"/>
          <w:highlight w:val="none"/>
          <w:lang w:val="en-US" w:eastAsia="zh-CN"/>
        </w:rPr>
      </w:pPr>
      <w:bookmarkStart w:id="19" w:name="_Toc193126889"/>
      <w:bookmarkStart w:id="20" w:name="_Toc193187105"/>
      <w:bookmarkStart w:id="21" w:name="_Toc188808840"/>
      <w:bookmarkStart w:id="22" w:name="_Toc194663926"/>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陕西中医药大学第二附属医院2024-2025年度零星家具供货商遴选项目</w:t>
      </w:r>
    </w:p>
    <w:p w14:paraId="56EB6BEE">
      <w:pPr>
        <w:keepNext w:val="0"/>
        <w:keepLines w:val="0"/>
        <w:pageBreakBefore w:val="0"/>
        <w:kinsoku/>
        <w:wordWrap/>
        <w:overflowPunct/>
        <w:topLinePunct w:val="0"/>
        <w:bidi w:val="0"/>
        <w:spacing w:line="360" w:lineRule="auto"/>
        <w:ind w:left="0" w:leftChars="0" w:right="0" w:firstLine="480" w:firstLineChars="200"/>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项目编号：</w:t>
      </w:r>
      <w:r>
        <w:rPr>
          <w:rFonts w:hint="eastAsia" w:ascii="宋体" w:hAnsi="宋体" w:eastAsia="宋体" w:cs="宋体"/>
          <w:bCs/>
          <w:sz w:val="24"/>
          <w:szCs w:val="24"/>
          <w:highlight w:val="none"/>
          <w:lang w:eastAsia="zh-CN"/>
        </w:rPr>
        <w:t>SZRFYZB20240</w:t>
      </w:r>
      <w:r>
        <w:rPr>
          <w:rFonts w:hint="eastAsia" w:ascii="宋体" w:hAnsi="宋体" w:cs="宋体"/>
          <w:bCs/>
          <w:sz w:val="24"/>
          <w:szCs w:val="24"/>
          <w:highlight w:val="none"/>
          <w:lang w:val="en-US" w:eastAsia="zh-CN"/>
        </w:rPr>
        <w:t>9</w:t>
      </w:r>
      <w:r>
        <w:rPr>
          <w:rFonts w:hint="eastAsia" w:ascii="宋体" w:hAnsi="宋体" w:eastAsia="宋体" w:cs="宋体"/>
          <w:bCs/>
          <w:sz w:val="24"/>
          <w:szCs w:val="24"/>
          <w:highlight w:val="none"/>
          <w:lang w:eastAsia="zh-CN"/>
        </w:rPr>
        <w:t>-</w:t>
      </w:r>
      <w:r>
        <w:rPr>
          <w:rFonts w:hint="eastAsia" w:ascii="宋体" w:hAnsi="宋体" w:cs="宋体"/>
          <w:bCs/>
          <w:sz w:val="24"/>
          <w:szCs w:val="24"/>
          <w:highlight w:val="none"/>
          <w:lang w:val="en-US" w:eastAsia="zh-CN"/>
        </w:rPr>
        <w:t>169</w:t>
      </w:r>
    </w:p>
    <w:p w14:paraId="2C56EC89">
      <w:pPr>
        <w:pageBreakBefore w:val="0"/>
        <w:kinsoku/>
        <w:wordWrap/>
        <w:overflowPunct/>
        <w:topLinePunct w:val="0"/>
        <w:autoSpaceDE w:val="0"/>
        <w:autoSpaceDN w:val="0"/>
        <w:bidi w:val="0"/>
        <w:adjustRightInd w:val="0"/>
        <w:snapToGrid w:val="0"/>
        <w:spacing w:line="360" w:lineRule="auto"/>
        <w:ind w:left="0" w:leftChars="0"/>
        <w:jc w:val="right"/>
        <w:textAlignment w:val="auto"/>
        <w:rPr>
          <w:rFonts w:hint="eastAsia" w:ascii="宋体" w:hAnsi="宋体" w:eastAsia="宋体" w:cs="宋体"/>
          <w:sz w:val="24"/>
          <w:szCs w:val="24"/>
          <w:highlight w:val="none"/>
        </w:rPr>
      </w:pPr>
      <w:r>
        <w:rPr>
          <w:rFonts w:hint="eastAsia" w:ascii="宋体" w:hAnsi="宋体" w:eastAsia="宋体" w:cs="宋体"/>
          <w:b/>
          <w:snapToGrid w:val="0"/>
          <w:kern w:val="0"/>
          <w:sz w:val="24"/>
          <w:szCs w:val="24"/>
          <w:highlight w:val="none"/>
        </w:rPr>
        <w:t xml:space="preserve"> </w:t>
      </w:r>
    </w:p>
    <w:tbl>
      <w:tblPr>
        <w:tblStyle w:val="20"/>
        <w:tblW w:w="9810" w:type="dxa"/>
        <w:jc w:val="center"/>
        <w:tblLayout w:type="fixed"/>
        <w:tblCellMar>
          <w:top w:w="0" w:type="dxa"/>
          <w:left w:w="108" w:type="dxa"/>
          <w:bottom w:w="0" w:type="dxa"/>
          <w:right w:w="108" w:type="dxa"/>
        </w:tblCellMar>
      </w:tblPr>
      <w:tblGrid>
        <w:gridCol w:w="2439"/>
        <w:gridCol w:w="3874"/>
        <w:gridCol w:w="2080"/>
        <w:gridCol w:w="1417"/>
      </w:tblGrid>
      <w:tr w14:paraId="732C31C4">
        <w:tblPrEx>
          <w:tblCellMar>
            <w:top w:w="0" w:type="dxa"/>
            <w:left w:w="108" w:type="dxa"/>
            <w:bottom w:w="0" w:type="dxa"/>
            <w:right w:w="108" w:type="dxa"/>
          </w:tblCellMar>
        </w:tblPrEx>
        <w:trPr>
          <w:trHeight w:val="567" w:hRule="atLeast"/>
          <w:jc w:val="center"/>
        </w:trPr>
        <w:tc>
          <w:tcPr>
            <w:tcW w:w="2439" w:type="dxa"/>
            <w:tcBorders>
              <w:top w:val="single" w:color="auto" w:sz="6" w:space="0"/>
              <w:left w:val="single" w:color="auto" w:sz="6" w:space="0"/>
              <w:bottom w:val="single" w:color="auto" w:sz="6" w:space="0"/>
              <w:right w:val="single" w:color="auto" w:sz="6" w:space="0"/>
              <w:tl2br w:val="single" w:color="auto" w:sz="4" w:space="0"/>
            </w:tcBorders>
            <w:noWrap w:val="0"/>
            <w:vAlign w:val="top"/>
          </w:tcPr>
          <w:p w14:paraId="22108EB3">
            <w:pPr>
              <w:autoSpaceDE w:val="0"/>
              <w:autoSpaceDN w:val="0"/>
              <w:adjustRightInd w:val="0"/>
              <w:snapToGrid w:val="0"/>
              <w:spacing w:line="500" w:lineRule="exact"/>
              <w:jc w:val="right"/>
              <w:rPr>
                <w:rFonts w:ascii="宋体" w:hAnsi="宋体"/>
                <w:snapToGrid w:val="0"/>
                <w:kern w:val="0"/>
                <w:sz w:val="24"/>
                <w:szCs w:val="24"/>
                <w:highlight w:val="none"/>
              </w:rPr>
            </w:pPr>
            <w:r>
              <w:rPr>
                <w:rFonts w:ascii="宋体" w:hAnsi="宋体"/>
                <w:snapToGrid w:val="0"/>
                <w:kern w:val="0"/>
                <w:sz w:val="24"/>
                <w:szCs w:val="24"/>
                <w:highlight w:val="none"/>
                <w:lang w:val="zh-CN"/>
              </w:rPr>
              <w:t>报价内容</w:t>
            </w:r>
          </w:p>
          <w:p w14:paraId="57DB57D4">
            <w:pPr>
              <w:autoSpaceDE w:val="0"/>
              <w:autoSpaceDN w:val="0"/>
              <w:adjustRightInd w:val="0"/>
              <w:snapToGrid w:val="0"/>
              <w:spacing w:line="500" w:lineRule="exact"/>
              <w:ind w:left="-1" w:hanging="419"/>
              <w:rPr>
                <w:rFonts w:ascii="宋体" w:hAnsi="宋体"/>
                <w:snapToGrid w:val="0"/>
                <w:kern w:val="0"/>
                <w:sz w:val="24"/>
                <w:szCs w:val="24"/>
                <w:highlight w:val="none"/>
              </w:rPr>
            </w:pPr>
          </w:p>
          <w:p w14:paraId="4DAB0ECB">
            <w:pPr>
              <w:autoSpaceDE w:val="0"/>
              <w:autoSpaceDN w:val="0"/>
              <w:adjustRightInd w:val="0"/>
              <w:snapToGrid w:val="0"/>
              <w:spacing w:line="500" w:lineRule="exact"/>
              <w:rPr>
                <w:rFonts w:ascii="宋体" w:hAnsi="宋体"/>
                <w:snapToGrid w:val="0"/>
                <w:kern w:val="0"/>
                <w:sz w:val="24"/>
                <w:szCs w:val="24"/>
                <w:highlight w:val="none"/>
              </w:rPr>
            </w:pPr>
            <w:r>
              <w:rPr>
                <w:rFonts w:hint="eastAsia" w:ascii="宋体" w:hAnsi="宋体"/>
                <w:snapToGrid w:val="0"/>
                <w:kern w:val="0"/>
                <w:sz w:val="24"/>
                <w:szCs w:val="24"/>
                <w:highlight w:val="none"/>
                <w:lang w:val="zh-CN"/>
              </w:rPr>
              <w:t>货物</w:t>
            </w:r>
            <w:r>
              <w:rPr>
                <w:rFonts w:ascii="宋体" w:hAnsi="宋体"/>
                <w:snapToGrid w:val="0"/>
                <w:kern w:val="0"/>
                <w:sz w:val="24"/>
                <w:szCs w:val="24"/>
                <w:highlight w:val="none"/>
                <w:lang w:val="zh-CN"/>
              </w:rPr>
              <w:t>名称</w:t>
            </w:r>
          </w:p>
        </w:tc>
        <w:tc>
          <w:tcPr>
            <w:tcW w:w="3874" w:type="dxa"/>
            <w:tcBorders>
              <w:top w:val="single" w:color="auto" w:sz="6" w:space="0"/>
              <w:left w:val="single" w:color="auto" w:sz="6" w:space="0"/>
              <w:bottom w:val="single" w:color="auto" w:sz="6" w:space="0"/>
              <w:right w:val="single" w:color="auto" w:sz="4" w:space="0"/>
            </w:tcBorders>
            <w:noWrap w:val="0"/>
            <w:vAlign w:val="center"/>
          </w:tcPr>
          <w:p w14:paraId="13474060">
            <w:pPr>
              <w:autoSpaceDE w:val="0"/>
              <w:autoSpaceDN w:val="0"/>
              <w:adjustRightInd w:val="0"/>
              <w:snapToGrid w:val="0"/>
              <w:spacing w:line="500" w:lineRule="exact"/>
              <w:jc w:val="center"/>
              <w:rPr>
                <w:rFonts w:ascii="宋体" w:hAnsi="宋体"/>
                <w:snapToGrid w:val="0"/>
                <w:kern w:val="0"/>
                <w:sz w:val="24"/>
                <w:szCs w:val="24"/>
                <w:highlight w:val="none"/>
              </w:rPr>
            </w:pPr>
            <w:r>
              <w:rPr>
                <w:rFonts w:hint="eastAsia" w:ascii="宋体" w:hAnsi="宋体"/>
                <w:snapToGrid w:val="0"/>
                <w:kern w:val="0"/>
                <w:sz w:val="24"/>
                <w:szCs w:val="24"/>
                <w:highlight w:val="none"/>
                <w:lang w:eastAsia="zh-CN"/>
              </w:rPr>
              <w:t>基础家具</w:t>
            </w:r>
          </w:p>
        </w:tc>
        <w:tc>
          <w:tcPr>
            <w:tcW w:w="2080" w:type="dxa"/>
            <w:tcBorders>
              <w:top w:val="single" w:color="auto" w:sz="6" w:space="0"/>
              <w:left w:val="single" w:color="auto" w:sz="4" w:space="0"/>
              <w:bottom w:val="single" w:color="auto" w:sz="6" w:space="0"/>
              <w:right w:val="single" w:color="auto" w:sz="6" w:space="0"/>
            </w:tcBorders>
            <w:noWrap w:val="0"/>
            <w:vAlign w:val="center"/>
          </w:tcPr>
          <w:p w14:paraId="5FFEA762">
            <w:pPr>
              <w:autoSpaceDE w:val="0"/>
              <w:autoSpaceDN w:val="0"/>
              <w:adjustRightInd w:val="0"/>
              <w:snapToGrid w:val="0"/>
              <w:spacing w:line="500" w:lineRule="exact"/>
              <w:jc w:val="center"/>
              <w:rPr>
                <w:rFonts w:hint="eastAsia" w:ascii="宋体" w:hAnsi="宋体"/>
                <w:snapToGrid w:val="0"/>
                <w:kern w:val="0"/>
                <w:sz w:val="24"/>
                <w:szCs w:val="24"/>
                <w:highlight w:val="none"/>
                <w:lang w:eastAsia="zh-CN"/>
              </w:rPr>
            </w:pPr>
            <w:r>
              <w:rPr>
                <w:rFonts w:hint="eastAsia" w:ascii="宋体" w:hAnsi="宋体"/>
                <w:snapToGrid w:val="0"/>
                <w:kern w:val="0"/>
                <w:sz w:val="24"/>
                <w:szCs w:val="24"/>
                <w:highlight w:val="none"/>
                <w:lang w:eastAsia="zh-CN"/>
              </w:rPr>
              <w:t>非基础家具</w:t>
            </w:r>
          </w:p>
        </w:tc>
        <w:tc>
          <w:tcPr>
            <w:tcW w:w="1417" w:type="dxa"/>
            <w:tcBorders>
              <w:top w:val="single" w:color="auto" w:sz="6" w:space="0"/>
              <w:left w:val="single" w:color="auto" w:sz="6" w:space="0"/>
              <w:bottom w:val="single" w:color="auto" w:sz="6" w:space="0"/>
              <w:right w:val="single" w:color="auto" w:sz="6" w:space="0"/>
            </w:tcBorders>
            <w:noWrap w:val="0"/>
            <w:vAlign w:val="center"/>
          </w:tcPr>
          <w:p w14:paraId="15BD5F3C">
            <w:pPr>
              <w:autoSpaceDE w:val="0"/>
              <w:autoSpaceDN w:val="0"/>
              <w:adjustRightInd w:val="0"/>
              <w:snapToGrid w:val="0"/>
              <w:spacing w:line="500" w:lineRule="exact"/>
              <w:jc w:val="center"/>
              <w:rPr>
                <w:rFonts w:hint="eastAsia" w:ascii="宋体" w:hAnsi="宋体" w:eastAsia="宋体"/>
                <w:snapToGrid w:val="0"/>
                <w:kern w:val="0"/>
                <w:sz w:val="24"/>
                <w:szCs w:val="24"/>
                <w:highlight w:val="none"/>
                <w:lang w:eastAsia="zh-CN"/>
              </w:rPr>
            </w:pPr>
            <w:r>
              <w:rPr>
                <w:rFonts w:hint="eastAsia" w:ascii="宋体" w:hAnsi="宋体"/>
                <w:snapToGrid w:val="0"/>
                <w:kern w:val="0"/>
                <w:sz w:val="24"/>
                <w:szCs w:val="24"/>
                <w:highlight w:val="none"/>
                <w:lang w:eastAsia="zh-CN"/>
              </w:rPr>
              <w:t>备注</w:t>
            </w:r>
          </w:p>
        </w:tc>
      </w:tr>
      <w:tr w14:paraId="21E14379">
        <w:tblPrEx>
          <w:tblCellMar>
            <w:top w:w="0" w:type="dxa"/>
            <w:left w:w="108" w:type="dxa"/>
            <w:bottom w:w="0" w:type="dxa"/>
            <w:right w:w="108" w:type="dxa"/>
          </w:tblCellMar>
        </w:tblPrEx>
        <w:trPr>
          <w:trHeight w:val="2670" w:hRule="atLeast"/>
          <w:jc w:val="center"/>
        </w:trPr>
        <w:tc>
          <w:tcPr>
            <w:tcW w:w="2439" w:type="dxa"/>
            <w:tcBorders>
              <w:top w:val="single" w:color="auto" w:sz="6" w:space="0"/>
              <w:left w:val="single" w:color="auto" w:sz="6" w:space="0"/>
              <w:bottom w:val="single" w:color="auto" w:sz="6" w:space="0"/>
              <w:right w:val="single" w:color="auto" w:sz="6" w:space="0"/>
            </w:tcBorders>
            <w:noWrap w:val="0"/>
            <w:vAlign w:val="center"/>
          </w:tcPr>
          <w:p w14:paraId="07A08ADC">
            <w:pPr>
              <w:adjustRightInd w:val="0"/>
              <w:snapToGrid w:val="0"/>
              <w:spacing w:line="500" w:lineRule="exact"/>
              <w:rPr>
                <w:rFonts w:hint="eastAsia" w:ascii="宋体" w:hAnsi="宋体" w:eastAsia="宋体"/>
                <w:snapToGrid w:val="0"/>
                <w:kern w:val="0"/>
                <w:sz w:val="24"/>
                <w:szCs w:val="24"/>
                <w:highlight w:val="none"/>
                <w:lang w:val="en-US" w:eastAsia="zh-CN"/>
              </w:rPr>
            </w:pPr>
            <w:r>
              <w:rPr>
                <w:rFonts w:hint="eastAsia" w:ascii="宋体" w:hAnsi="宋体"/>
                <w:snapToGrid w:val="0"/>
                <w:kern w:val="0"/>
                <w:sz w:val="24"/>
                <w:szCs w:val="24"/>
                <w:highlight w:val="none"/>
              </w:rPr>
              <w:t>陕西中医药大学第二附属医院</w:t>
            </w:r>
            <w:r>
              <w:rPr>
                <w:rFonts w:hint="eastAsia" w:ascii="宋体" w:hAnsi="宋体"/>
                <w:snapToGrid w:val="0"/>
                <w:kern w:val="0"/>
                <w:sz w:val="24"/>
                <w:szCs w:val="24"/>
                <w:highlight w:val="none"/>
                <w:lang w:eastAsia="zh-CN"/>
              </w:rPr>
              <w:t>零星家具供货单位遴选项目</w:t>
            </w:r>
          </w:p>
        </w:tc>
        <w:tc>
          <w:tcPr>
            <w:tcW w:w="3874" w:type="dxa"/>
            <w:tcBorders>
              <w:top w:val="single" w:color="auto" w:sz="6" w:space="0"/>
              <w:left w:val="single" w:color="auto" w:sz="6" w:space="0"/>
              <w:bottom w:val="single" w:color="auto" w:sz="6" w:space="0"/>
              <w:right w:val="single" w:color="auto" w:sz="4" w:space="0"/>
            </w:tcBorders>
            <w:noWrap w:val="0"/>
            <w:vAlign w:val="center"/>
          </w:tcPr>
          <w:p w14:paraId="1FD1778A">
            <w:pPr>
              <w:adjustRightInd w:val="0"/>
              <w:snapToGrid w:val="0"/>
              <w:spacing w:line="500" w:lineRule="exact"/>
              <w:rPr>
                <w:rFonts w:ascii="宋体" w:hAnsi="宋体"/>
                <w:snapToGrid w:val="0"/>
                <w:kern w:val="0"/>
                <w:sz w:val="24"/>
                <w:szCs w:val="24"/>
                <w:highlight w:val="none"/>
              </w:rPr>
            </w:pPr>
            <w:r>
              <w:rPr>
                <w:rFonts w:ascii="宋体" w:hAnsi="宋体"/>
                <w:snapToGrid w:val="0"/>
                <w:kern w:val="0"/>
                <w:sz w:val="24"/>
                <w:szCs w:val="24"/>
                <w:highlight w:val="none"/>
              </w:rPr>
              <w:t>总计：</w:t>
            </w:r>
          </w:p>
          <w:p w14:paraId="7F57B379">
            <w:pPr>
              <w:adjustRightInd w:val="0"/>
              <w:snapToGrid w:val="0"/>
              <w:spacing w:line="500" w:lineRule="exact"/>
              <w:rPr>
                <w:rFonts w:ascii="宋体" w:hAnsi="宋体"/>
                <w:snapToGrid w:val="0"/>
                <w:kern w:val="0"/>
                <w:sz w:val="24"/>
                <w:szCs w:val="24"/>
                <w:highlight w:val="none"/>
              </w:rPr>
            </w:pPr>
            <w:r>
              <w:rPr>
                <w:rFonts w:ascii="宋体" w:hAnsi="宋体"/>
                <w:snapToGrid w:val="0"/>
                <w:kern w:val="0"/>
                <w:sz w:val="24"/>
                <w:szCs w:val="24"/>
                <w:highlight w:val="none"/>
              </w:rPr>
              <w:t xml:space="preserve">人民币大写：                  </w:t>
            </w:r>
          </w:p>
          <w:p w14:paraId="19124BE5">
            <w:pPr>
              <w:adjustRightInd w:val="0"/>
              <w:snapToGrid w:val="0"/>
              <w:spacing w:line="500" w:lineRule="exact"/>
              <w:rPr>
                <w:rFonts w:ascii="宋体" w:hAnsi="宋体"/>
                <w:snapToGrid w:val="0"/>
                <w:kern w:val="0"/>
                <w:sz w:val="24"/>
                <w:szCs w:val="24"/>
                <w:highlight w:val="none"/>
              </w:rPr>
            </w:pPr>
            <w:r>
              <w:rPr>
                <w:rFonts w:hint="eastAsia" w:ascii="宋体" w:hAnsi="宋体"/>
                <w:snapToGrid w:val="0"/>
                <w:kern w:val="0"/>
                <w:sz w:val="24"/>
                <w:szCs w:val="24"/>
                <w:highlight w:val="none"/>
              </w:rPr>
              <w:t>¥</w:t>
            </w:r>
            <w:r>
              <w:rPr>
                <w:rFonts w:ascii="宋体" w:hAnsi="宋体"/>
                <w:snapToGrid w:val="0"/>
                <w:kern w:val="0"/>
                <w:sz w:val="24"/>
                <w:szCs w:val="24"/>
                <w:highlight w:val="none"/>
              </w:rPr>
              <w:t>：      元</w:t>
            </w:r>
          </w:p>
        </w:tc>
        <w:tc>
          <w:tcPr>
            <w:tcW w:w="2080" w:type="dxa"/>
            <w:tcBorders>
              <w:top w:val="single" w:color="auto" w:sz="6" w:space="0"/>
              <w:left w:val="single" w:color="auto" w:sz="4" w:space="0"/>
              <w:bottom w:val="single" w:color="auto" w:sz="6" w:space="0"/>
              <w:right w:val="single" w:color="auto" w:sz="6" w:space="0"/>
            </w:tcBorders>
            <w:noWrap w:val="0"/>
            <w:vAlign w:val="center"/>
          </w:tcPr>
          <w:p w14:paraId="29A76C66">
            <w:pPr>
              <w:adjustRightInd w:val="0"/>
              <w:snapToGrid w:val="0"/>
              <w:spacing w:line="500" w:lineRule="exact"/>
              <w:rPr>
                <w:rFonts w:hint="eastAsia" w:ascii="宋体" w:hAnsi="宋体" w:eastAsia="宋体"/>
                <w:snapToGrid w:val="0"/>
                <w:kern w:val="0"/>
                <w:sz w:val="24"/>
                <w:szCs w:val="24"/>
                <w:highlight w:val="none"/>
                <w:lang w:eastAsia="zh-CN"/>
              </w:rPr>
            </w:pPr>
            <w:r>
              <w:rPr>
                <w:rFonts w:hint="eastAsia" w:ascii="宋体" w:hAnsi="宋体"/>
                <w:snapToGrid w:val="0"/>
                <w:kern w:val="0"/>
                <w:sz w:val="24"/>
                <w:szCs w:val="24"/>
                <w:highlight w:val="none"/>
                <w:lang w:eastAsia="zh-CN"/>
              </w:rPr>
              <w:t>由遴选入围单位根据实际情况，另行报价</w:t>
            </w:r>
          </w:p>
        </w:tc>
        <w:tc>
          <w:tcPr>
            <w:tcW w:w="1417" w:type="dxa"/>
            <w:tcBorders>
              <w:top w:val="single" w:color="auto" w:sz="6" w:space="0"/>
              <w:left w:val="single" w:color="auto" w:sz="6" w:space="0"/>
              <w:bottom w:val="single" w:color="auto" w:sz="6" w:space="0"/>
              <w:right w:val="single" w:color="auto" w:sz="6" w:space="0"/>
            </w:tcBorders>
            <w:noWrap w:val="0"/>
            <w:vAlign w:val="center"/>
          </w:tcPr>
          <w:p w14:paraId="2B0B65F4">
            <w:pPr>
              <w:autoSpaceDE w:val="0"/>
              <w:autoSpaceDN w:val="0"/>
              <w:adjustRightInd w:val="0"/>
              <w:snapToGrid w:val="0"/>
              <w:spacing w:line="500" w:lineRule="exact"/>
              <w:jc w:val="center"/>
              <w:rPr>
                <w:rFonts w:ascii="宋体" w:hAnsi="宋体"/>
                <w:snapToGrid w:val="0"/>
                <w:kern w:val="0"/>
                <w:sz w:val="24"/>
                <w:szCs w:val="24"/>
                <w:highlight w:val="none"/>
              </w:rPr>
            </w:pPr>
          </w:p>
        </w:tc>
      </w:tr>
    </w:tbl>
    <w:p w14:paraId="4B08D679">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5B9EDF13">
      <w:pPr>
        <w:adjustRightInd w:val="0"/>
        <w:snapToGrid w:val="0"/>
        <w:spacing w:line="500" w:lineRule="exact"/>
        <w:rPr>
          <w:rFonts w:hint="eastAsia" w:ascii="宋体" w:hAnsi="宋体"/>
          <w:snapToGrid w:val="0"/>
          <w:kern w:val="0"/>
          <w:sz w:val="24"/>
          <w:szCs w:val="24"/>
          <w:highlight w:val="none"/>
          <w:lang w:eastAsia="zh-CN"/>
        </w:rPr>
      </w:pPr>
      <w:r>
        <w:rPr>
          <w:rFonts w:hint="eastAsia" w:ascii="宋体" w:hAnsi="宋体"/>
          <w:snapToGrid w:val="0"/>
          <w:kern w:val="0"/>
          <w:sz w:val="24"/>
          <w:szCs w:val="24"/>
          <w:highlight w:val="none"/>
          <w:lang w:eastAsia="zh-CN"/>
        </w:rPr>
        <w:t>注：1、总报价包括产品供应价、运杂费（含保险）、装卸费、及其它相关一切费用。</w:t>
      </w:r>
    </w:p>
    <w:p w14:paraId="3065B332">
      <w:pPr>
        <w:adjustRightInd w:val="0"/>
        <w:snapToGrid w:val="0"/>
        <w:spacing w:line="500" w:lineRule="exact"/>
        <w:rPr>
          <w:rFonts w:hint="eastAsia" w:ascii="宋体" w:hAnsi="宋体"/>
          <w:snapToGrid w:val="0"/>
          <w:kern w:val="0"/>
          <w:sz w:val="24"/>
          <w:szCs w:val="24"/>
          <w:highlight w:val="none"/>
          <w:lang w:eastAsia="zh-CN"/>
        </w:rPr>
      </w:pPr>
      <w:r>
        <w:rPr>
          <w:rFonts w:hint="eastAsia" w:ascii="宋体" w:hAnsi="宋体"/>
          <w:snapToGrid w:val="0"/>
          <w:kern w:val="0"/>
          <w:sz w:val="24"/>
          <w:szCs w:val="24"/>
          <w:highlight w:val="none"/>
          <w:lang w:eastAsia="zh-CN"/>
        </w:rPr>
        <w:t>2、本表必须按给定格式填写完整，不允许空白，如无相应内容，填“无”。</w:t>
      </w:r>
    </w:p>
    <w:p w14:paraId="360C64E0">
      <w:pPr>
        <w:adjustRightInd w:val="0"/>
        <w:snapToGrid w:val="0"/>
        <w:spacing w:line="500" w:lineRule="exact"/>
        <w:rPr>
          <w:rFonts w:hint="eastAsia" w:ascii="宋体" w:hAnsi="宋体"/>
          <w:snapToGrid w:val="0"/>
          <w:kern w:val="0"/>
          <w:sz w:val="24"/>
          <w:szCs w:val="24"/>
          <w:highlight w:val="none"/>
          <w:lang w:val="zh-CN" w:eastAsia="zh-CN"/>
        </w:rPr>
      </w:pPr>
    </w:p>
    <w:p w14:paraId="49E1591E">
      <w:pPr>
        <w:pStyle w:val="7"/>
        <w:pageBreakBefore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rPr>
      </w:pPr>
    </w:p>
    <w:p w14:paraId="2EE8D695">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7ACB379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45FD501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29ACE056">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1CF6EB48">
      <w:pPr>
        <w:pStyle w:val="2"/>
        <w:rPr>
          <w:rFonts w:hint="eastAsia" w:ascii="宋体" w:hAnsi="宋体" w:eastAsia="宋体" w:cs="宋体"/>
          <w:sz w:val="24"/>
          <w:szCs w:val="24"/>
          <w:highlight w:val="none"/>
          <w:lang w:val="en-US" w:eastAsia="zh-CN"/>
        </w:rPr>
      </w:pPr>
    </w:p>
    <w:p w14:paraId="35E28880">
      <w:pPr>
        <w:pStyle w:val="2"/>
        <w:numPr>
          <w:ilvl w:val="0"/>
          <w:numId w:val="0"/>
        </w:numPr>
        <w:spacing w:line="360" w:lineRule="auto"/>
        <w:ind w:leftChars="200"/>
        <w:jc w:val="left"/>
        <w:rPr>
          <w:rFonts w:hint="eastAsia" w:ascii="宋体" w:hAnsi="宋体" w:eastAsia="宋体" w:cs="宋体"/>
          <w:b/>
          <w:bCs w:val="0"/>
          <w:color w:val="auto"/>
          <w:kern w:val="2"/>
          <w:sz w:val="24"/>
          <w:szCs w:val="24"/>
          <w:highlight w:val="none"/>
          <w:u w:val="none"/>
          <w:lang w:val="en-US" w:eastAsia="zh-CN" w:bidi="ar-SA"/>
        </w:rPr>
      </w:pPr>
    </w:p>
    <w:p w14:paraId="4C99D80E">
      <w:pPr>
        <w:pStyle w:val="2"/>
        <w:numPr>
          <w:ilvl w:val="0"/>
          <w:numId w:val="0"/>
        </w:numPr>
        <w:spacing w:line="360" w:lineRule="auto"/>
        <w:ind w:leftChars="200"/>
        <w:jc w:val="left"/>
        <w:rPr>
          <w:rFonts w:hint="eastAsia" w:ascii="宋体" w:hAnsi="宋体" w:eastAsia="宋体" w:cs="宋体"/>
          <w:b/>
          <w:bCs w:val="0"/>
          <w:color w:val="auto"/>
          <w:kern w:val="2"/>
          <w:sz w:val="24"/>
          <w:szCs w:val="24"/>
          <w:highlight w:val="none"/>
          <w:u w:val="none"/>
          <w:lang w:val="en-US" w:eastAsia="zh-CN" w:bidi="ar-SA"/>
        </w:rPr>
      </w:pPr>
    </w:p>
    <w:p w14:paraId="70999DE6">
      <w:pPr>
        <w:pStyle w:val="2"/>
        <w:numPr>
          <w:ilvl w:val="0"/>
          <w:numId w:val="0"/>
        </w:numPr>
        <w:spacing w:line="360" w:lineRule="auto"/>
        <w:ind w:leftChars="200"/>
        <w:jc w:val="left"/>
        <w:rPr>
          <w:rFonts w:hint="eastAsia" w:ascii="宋体" w:hAnsi="宋体" w:eastAsia="宋体" w:cs="宋体"/>
          <w:b/>
          <w:bCs w:val="0"/>
          <w:color w:val="auto"/>
          <w:kern w:val="2"/>
          <w:sz w:val="24"/>
          <w:szCs w:val="24"/>
          <w:highlight w:val="none"/>
          <w:u w:val="none"/>
          <w:lang w:val="en-US" w:eastAsia="zh-CN" w:bidi="ar-SA"/>
        </w:rPr>
      </w:pPr>
    </w:p>
    <w:p w14:paraId="0E4D6322">
      <w:pPr>
        <w:pStyle w:val="2"/>
        <w:numPr>
          <w:ilvl w:val="0"/>
          <w:numId w:val="0"/>
        </w:numPr>
        <w:spacing w:line="360" w:lineRule="auto"/>
        <w:ind w:leftChars="200"/>
        <w:jc w:val="left"/>
        <w:rPr>
          <w:rFonts w:hint="eastAsia" w:ascii="宋体" w:hAnsi="宋体" w:eastAsia="宋体" w:cs="宋体"/>
          <w:b/>
          <w:bCs w:val="0"/>
          <w:color w:val="auto"/>
          <w:kern w:val="2"/>
          <w:sz w:val="24"/>
          <w:szCs w:val="24"/>
          <w:highlight w:val="none"/>
          <w:u w:val="none"/>
          <w:lang w:val="en-US" w:eastAsia="zh-CN" w:bidi="ar-SA"/>
        </w:rPr>
      </w:pPr>
    </w:p>
    <w:p w14:paraId="443F5997">
      <w:pPr>
        <w:pStyle w:val="2"/>
        <w:numPr>
          <w:ilvl w:val="0"/>
          <w:numId w:val="0"/>
        </w:numPr>
        <w:spacing w:line="360" w:lineRule="auto"/>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2、分项报价表</w:t>
      </w:r>
    </w:p>
    <w:tbl>
      <w:tblPr>
        <w:tblStyle w:val="20"/>
        <w:tblW w:w="0" w:type="auto"/>
        <w:jc w:val="center"/>
        <w:tblLayout w:type="fixed"/>
        <w:tblCellMar>
          <w:top w:w="0" w:type="dxa"/>
          <w:left w:w="108" w:type="dxa"/>
          <w:bottom w:w="0" w:type="dxa"/>
          <w:right w:w="108" w:type="dxa"/>
        </w:tblCellMar>
      </w:tblPr>
      <w:tblGrid>
        <w:gridCol w:w="709"/>
        <w:gridCol w:w="1181"/>
        <w:gridCol w:w="1260"/>
        <w:gridCol w:w="735"/>
        <w:gridCol w:w="1077"/>
        <w:gridCol w:w="992"/>
        <w:gridCol w:w="1559"/>
        <w:gridCol w:w="816"/>
        <w:gridCol w:w="1365"/>
      </w:tblGrid>
      <w:tr w14:paraId="1F9E852E">
        <w:tblPrEx>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74DB7BBF">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序号</w:t>
            </w:r>
          </w:p>
        </w:tc>
        <w:tc>
          <w:tcPr>
            <w:tcW w:w="1181" w:type="dxa"/>
            <w:tcBorders>
              <w:top w:val="single" w:color="auto" w:sz="4" w:space="0"/>
              <w:left w:val="nil"/>
              <w:bottom w:val="single" w:color="auto" w:sz="4" w:space="0"/>
              <w:right w:val="single" w:color="auto" w:sz="4" w:space="0"/>
            </w:tcBorders>
            <w:noWrap w:val="0"/>
            <w:vAlign w:val="center"/>
          </w:tcPr>
          <w:p w14:paraId="263E9624">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分项名称</w:t>
            </w:r>
          </w:p>
        </w:tc>
        <w:tc>
          <w:tcPr>
            <w:tcW w:w="1260" w:type="dxa"/>
            <w:tcBorders>
              <w:top w:val="single" w:color="auto" w:sz="4" w:space="0"/>
              <w:left w:val="nil"/>
              <w:bottom w:val="single" w:color="auto" w:sz="4" w:space="0"/>
              <w:right w:val="single" w:color="auto" w:sz="4" w:space="0"/>
            </w:tcBorders>
            <w:noWrap w:val="0"/>
            <w:vAlign w:val="center"/>
          </w:tcPr>
          <w:p w14:paraId="21762825">
            <w:pPr>
              <w:widowControl/>
              <w:jc w:val="center"/>
              <w:rPr>
                <w:rFonts w:hint="eastAsia" w:ascii="宋体" w:hAnsi="宋体"/>
                <w:snapToGrid w:val="0"/>
                <w:kern w:val="0"/>
                <w:sz w:val="24"/>
                <w:szCs w:val="24"/>
                <w:highlight w:val="none"/>
              </w:rPr>
            </w:pPr>
            <w:r>
              <w:rPr>
                <w:rFonts w:hint="eastAsia" w:ascii="宋体" w:hAnsi="宋体"/>
                <w:snapToGrid w:val="0"/>
                <w:kern w:val="0"/>
                <w:sz w:val="24"/>
                <w:szCs w:val="24"/>
                <w:highlight w:val="none"/>
              </w:rPr>
              <w:t>规格型号</w:t>
            </w:r>
          </w:p>
        </w:tc>
        <w:tc>
          <w:tcPr>
            <w:tcW w:w="735" w:type="dxa"/>
            <w:tcBorders>
              <w:top w:val="single" w:color="auto" w:sz="4" w:space="0"/>
              <w:left w:val="nil"/>
              <w:bottom w:val="single" w:color="auto" w:sz="4" w:space="0"/>
              <w:right w:val="single" w:color="auto" w:sz="4" w:space="0"/>
            </w:tcBorders>
            <w:noWrap w:val="0"/>
            <w:vAlign w:val="center"/>
          </w:tcPr>
          <w:p w14:paraId="2CD16577">
            <w:pPr>
              <w:jc w:val="center"/>
              <w:rPr>
                <w:rFonts w:ascii="宋体" w:hAnsi="宋体"/>
                <w:snapToGrid w:val="0"/>
                <w:kern w:val="0"/>
                <w:sz w:val="24"/>
                <w:szCs w:val="24"/>
                <w:highlight w:val="none"/>
              </w:rPr>
            </w:pPr>
            <w:r>
              <w:rPr>
                <w:rFonts w:ascii="宋体" w:hAnsi="宋体"/>
                <w:snapToGrid w:val="0"/>
                <w:kern w:val="0"/>
                <w:sz w:val="24"/>
                <w:szCs w:val="24"/>
                <w:highlight w:val="none"/>
              </w:rPr>
              <w:t>单位</w:t>
            </w:r>
          </w:p>
        </w:tc>
        <w:tc>
          <w:tcPr>
            <w:tcW w:w="1077" w:type="dxa"/>
            <w:tcBorders>
              <w:top w:val="single" w:color="auto" w:sz="4" w:space="0"/>
              <w:left w:val="nil"/>
              <w:bottom w:val="single" w:color="auto" w:sz="4" w:space="0"/>
              <w:right w:val="single" w:color="auto" w:sz="4" w:space="0"/>
            </w:tcBorders>
            <w:noWrap w:val="0"/>
            <w:vAlign w:val="center"/>
          </w:tcPr>
          <w:p w14:paraId="5CE95BE6">
            <w:pPr>
              <w:jc w:val="center"/>
              <w:rPr>
                <w:rFonts w:ascii="宋体" w:hAnsi="宋体"/>
                <w:snapToGrid w:val="0"/>
                <w:kern w:val="0"/>
                <w:sz w:val="24"/>
                <w:szCs w:val="24"/>
                <w:highlight w:val="none"/>
              </w:rPr>
            </w:pPr>
            <w:r>
              <w:rPr>
                <w:rFonts w:ascii="宋体" w:hAnsi="宋体"/>
                <w:snapToGrid w:val="0"/>
                <w:kern w:val="0"/>
                <w:sz w:val="24"/>
                <w:szCs w:val="24"/>
                <w:highlight w:val="none"/>
              </w:rPr>
              <w:t>数量</w:t>
            </w:r>
          </w:p>
        </w:tc>
        <w:tc>
          <w:tcPr>
            <w:tcW w:w="992" w:type="dxa"/>
            <w:tcBorders>
              <w:top w:val="single" w:color="auto" w:sz="4" w:space="0"/>
              <w:left w:val="nil"/>
              <w:bottom w:val="single" w:color="auto" w:sz="4" w:space="0"/>
              <w:right w:val="single" w:color="auto" w:sz="4" w:space="0"/>
            </w:tcBorders>
            <w:noWrap w:val="0"/>
            <w:vAlign w:val="center"/>
          </w:tcPr>
          <w:p w14:paraId="650CAD1F">
            <w:pPr>
              <w:widowControl/>
              <w:jc w:val="center"/>
              <w:rPr>
                <w:rFonts w:hint="eastAsia" w:ascii="宋体" w:hAnsi="宋体"/>
                <w:snapToGrid w:val="0"/>
                <w:kern w:val="0"/>
                <w:sz w:val="24"/>
                <w:szCs w:val="24"/>
                <w:highlight w:val="none"/>
              </w:rPr>
            </w:pPr>
            <w:r>
              <w:rPr>
                <w:rFonts w:hint="eastAsia" w:ascii="宋体" w:hAnsi="宋体"/>
                <w:snapToGrid w:val="0"/>
                <w:kern w:val="0"/>
                <w:sz w:val="24"/>
                <w:szCs w:val="24"/>
                <w:highlight w:val="none"/>
              </w:rPr>
              <w:t>产地</w:t>
            </w:r>
          </w:p>
        </w:tc>
        <w:tc>
          <w:tcPr>
            <w:tcW w:w="1559" w:type="dxa"/>
            <w:tcBorders>
              <w:top w:val="single" w:color="auto" w:sz="4" w:space="0"/>
              <w:left w:val="nil"/>
              <w:bottom w:val="single" w:color="auto" w:sz="4" w:space="0"/>
              <w:right w:val="single" w:color="auto" w:sz="4" w:space="0"/>
            </w:tcBorders>
            <w:noWrap w:val="0"/>
            <w:vAlign w:val="center"/>
          </w:tcPr>
          <w:p w14:paraId="4E3CC148">
            <w:pPr>
              <w:jc w:val="center"/>
              <w:rPr>
                <w:rFonts w:hint="eastAsia" w:ascii="宋体" w:hAnsi="宋体"/>
                <w:snapToGrid w:val="0"/>
                <w:kern w:val="0"/>
                <w:sz w:val="24"/>
                <w:szCs w:val="24"/>
                <w:highlight w:val="none"/>
              </w:rPr>
            </w:pPr>
            <w:r>
              <w:rPr>
                <w:rFonts w:hint="eastAsia" w:ascii="宋体" w:hAnsi="宋体"/>
                <w:snapToGrid w:val="0"/>
                <w:kern w:val="0"/>
                <w:sz w:val="24"/>
                <w:szCs w:val="24"/>
                <w:highlight w:val="none"/>
              </w:rPr>
              <w:t>生产厂家</w:t>
            </w:r>
          </w:p>
        </w:tc>
        <w:tc>
          <w:tcPr>
            <w:tcW w:w="816" w:type="dxa"/>
            <w:tcBorders>
              <w:top w:val="single" w:color="auto" w:sz="4" w:space="0"/>
              <w:left w:val="nil"/>
              <w:bottom w:val="single" w:color="auto" w:sz="4" w:space="0"/>
              <w:right w:val="single" w:color="auto" w:sz="4" w:space="0"/>
            </w:tcBorders>
            <w:noWrap w:val="0"/>
            <w:vAlign w:val="center"/>
          </w:tcPr>
          <w:p w14:paraId="05695322">
            <w:pPr>
              <w:jc w:val="center"/>
              <w:rPr>
                <w:rFonts w:ascii="宋体" w:hAnsi="宋体"/>
                <w:snapToGrid w:val="0"/>
                <w:kern w:val="0"/>
                <w:sz w:val="24"/>
                <w:szCs w:val="24"/>
                <w:highlight w:val="none"/>
              </w:rPr>
            </w:pPr>
            <w:r>
              <w:rPr>
                <w:rFonts w:ascii="宋体" w:hAnsi="宋体"/>
                <w:snapToGrid w:val="0"/>
                <w:kern w:val="0"/>
                <w:sz w:val="24"/>
                <w:szCs w:val="24"/>
                <w:highlight w:val="none"/>
              </w:rPr>
              <w:t>单价</w:t>
            </w:r>
          </w:p>
        </w:tc>
        <w:tc>
          <w:tcPr>
            <w:tcW w:w="1365" w:type="dxa"/>
            <w:tcBorders>
              <w:top w:val="single" w:color="auto" w:sz="4" w:space="0"/>
              <w:left w:val="nil"/>
              <w:bottom w:val="single" w:color="auto" w:sz="4" w:space="0"/>
              <w:right w:val="single" w:color="auto" w:sz="4" w:space="0"/>
            </w:tcBorders>
            <w:noWrap w:val="0"/>
            <w:vAlign w:val="center"/>
          </w:tcPr>
          <w:p w14:paraId="7C627001">
            <w:pPr>
              <w:widowControl/>
              <w:jc w:val="center"/>
              <w:rPr>
                <w:rFonts w:ascii="宋体" w:hAnsi="宋体"/>
                <w:snapToGrid w:val="0"/>
                <w:kern w:val="0"/>
                <w:sz w:val="24"/>
                <w:szCs w:val="24"/>
                <w:highlight w:val="none"/>
              </w:rPr>
            </w:pPr>
            <w:r>
              <w:rPr>
                <w:rFonts w:hint="eastAsia" w:ascii="宋体" w:hAnsi="宋体"/>
                <w:snapToGrid w:val="0"/>
                <w:kern w:val="0"/>
                <w:sz w:val="24"/>
                <w:szCs w:val="24"/>
                <w:highlight w:val="none"/>
              </w:rPr>
              <w:t>合</w:t>
            </w:r>
            <w:r>
              <w:rPr>
                <w:rFonts w:ascii="宋体" w:hAnsi="宋体"/>
                <w:snapToGrid w:val="0"/>
                <w:kern w:val="0"/>
                <w:sz w:val="24"/>
                <w:szCs w:val="24"/>
                <w:highlight w:val="none"/>
              </w:rPr>
              <w:t>价</w:t>
            </w:r>
          </w:p>
        </w:tc>
      </w:tr>
      <w:tr w14:paraId="3B265860">
        <w:tblPrEx>
          <w:tblCellMar>
            <w:top w:w="0" w:type="dxa"/>
            <w:left w:w="108" w:type="dxa"/>
            <w:bottom w:w="0" w:type="dxa"/>
            <w:right w:w="108" w:type="dxa"/>
          </w:tblCellMar>
        </w:tblPrEx>
        <w:trPr>
          <w:trHeight w:val="567" w:hRule="atLeast"/>
          <w:jc w:val="center"/>
        </w:trPr>
        <w:tc>
          <w:tcPr>
            <w:tcW w:w="709" w:type="dxa"/>
            <w:tcBorders>
              <w:top w:val="nil"/>
              <w:left w:val="single" w:color="auto" w:sz="4" w:space="0"/>
              <w:bottom w:val="single" w:color="auto" w:sz="4" w:space="0"/>
              <w:right w:val="single" w:color="auto" w:sz="4" w:space="0"/>
            </w:tcBorders>
            <w:noWrap w:val="0"/>
            <w:vAlign w:val="center"/>
          </w:tcPr>
          <w:p w14:paraId="028D94C4">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1</w:t>
            </w:r>
          </w:p>
        </w:tc>
        <w:tc>
          <w:tcPr>
            <w:tcW w:w="1181" w:type="dxa"/>
            <w:tcBorders>
              <w:top w:val="nil"/>
              <w:left w:val="nil"/>
              <w:bottom w:val="single" w:color="auto" w:sz="4" w:space="0"/>
              <w:right w:val="single" w:color="auto" w:sz="4" w:space="0"/>
            </w:tcBorders>
            <w:noWrap w:val="0"/>
            <w:vAlign w:val="center"/>
          </w:tcPr>
          <w:p w14:paraId="3C82670A">
            <w:pPr>
              <w:widowControl/>
              <w:jc w:val="center"/>
              <w:rPr>
                <w:rFonts w:ascii="宋体" w:hAnsi="宋体"/>
                <w:snapToGrid w:val="0"/>
                <w:kern w:val="0"/>
                <w:sz w:val="24"/>
                <w:szCs w:val="24"/>
                <w:highlight w:val="none"/>
              </w:rPr>
            </w:pPr>
          </w:p>
        </w:tc>
        <w:tc>
          <w:tcPr>
            <w:tcW w:w="1260" w:type="dxa"/>
            <w:tcBorders>
              <w:top w:val="nil"/>
              <w:left w:val="nil"/>
              <w:bottom w:val="single" w:color="auto" w:sz="4" w:space="0"/>
              <w:right w:val="single" w:color="auto" w:sz="4" w:space="0"/>
            </w:tcBorders>
            <w:noWrap w:val="0"/>
            <w:vAlign w:val="center"/>
          </w:tcPr>
          <w:p w14:paraId="24C2FF53">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c>
          <w:tcPr>
            <w:tcW w:w="735" w:type="dxa"/>
            <w:tcBorders>
              <w:top w:val="nil"/>
              <w:left w:val="nil"/>
              <w:bottom w:val="single" w:color="auto" w:sz="4" w:space="0"/>
              <w:right w:val="single" w:color="auto" w:sz="4" w:space="0"/>
            </w:tcBorders>
            <w:noWrap w:val="0"/>
            <w:vAlign w:val="center"/>
          </w:tcPr>
          <w:p w14:paraId="1516CC98">
            <w:pPr>
              <w:widowControl/>
              <w:jc w:val="left"/>
              <w:rPr>
                <w:rFonts w:ascii="宋体" w:hAnsi="宋体"/>
                <w:snapToGrid w:val="0"/>
                <w:kern w:val="0"/>
                <w:sz w:val="24"/>
                <w:szCs w:val="24"/>
                <w:highlight w:val="none"/>
              </w:rPr>
            </w:pPr>
          </w:p>
          <w:p w14:paraId="4A24D6F5">
            <w:pPr>
              <w:widowControl/>
              <w:jc w:val="left"/>
              <w:rPr>
                <w:rFonts w:ascii="宋体" w:hAnsi="宋体"/>
                <w:snapToGrid w:val="0"/>
                <w:kern w:val="0"/>
                <w:sz w:val="24"/>
                <w:szCs w:val="24"/>
                <w:highlight w:val="none"/>
              </w:rPr>
            </w:pPr>
          </w:p>
        </w:tc>
        <w:tc>
          <w:tcPr>
            <w:tcW w:w="1077" w:type="dxa"/>
            <w:tcBorders>
              <w:top w:val="nil"/>
              <w:left w:val="nil"/>
              <w:bottom w:val="single" w:color="auto" w:sz="4" w:space="0"/>
              <w:right w:val="single" w:color="auto" w:sz="4" w:space="0"/>
            </w:tcBorders>
            <w:noWrap w:val="0"/>
            <w:vAlign w:val="center"/>
          </w:tcPr>
          <w:p w14:paraId="18110B35">
            <w:pPr>
              <w:widowControl/>
              <w:jc w:val="left"/>
              <w:rPr>
                <w:rFonts w:ascii="宋体" w:hAnsi="宋体"/>
                <w:snapToGrid w:val="0"/>
                <w:kern w:val="0"/>
                <w:sz w:val="24"/>
                <w:szCs w:val="24"/>
                <w:highlight w:val="none"/>
              </w:rPr>
            </w:pPr>
          </w:p>
          <w:p w14:paraId="7EB8E6DD">
            <w:pPr>
              <w:widowControl/>
              <w:jc w:val="left"/>
              <w:rPr>
                <w:rFonts w:ascii="宋体" w:hAnsi="宋体"/>
                <w:snapToGrid w:val="0"/>
                <w:kern w:val="0"/>
                <w:sz w:val="24"/>
                <w:szCs w:val="24"/>
                <w:highlight w:val="none"/>
              </w:rPr>
            </w:pPr>
          </w:p>
        </w:tc>
        <w:tc>
          <w:tcPr>
            <w:tcW w:w="992" w:type="dxa"/>
            <w:tcBorders>
              <w:top w:val="nil"/>
              <w:left w:val="nil"/>
              <w:bottom w:val="single" w:color="auto" w:sz="4" w:space="0"/>
              <w:right w:val="single" w:color="auto" w:sz="4" w:space="0"/>
            </w:tcBorders>
            <w:noWrap w:val="0"/>
            <w:vAlign w:val="center"/>
          </w:tcPr>
          <w:p w14:paraId="5F38D3BE">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c>
          <w:tcPr>
            <w:tcW w:w="1559" w:type="dxa"/>
            <w:tcBorders>
              <w:top w:val="nil"/>
              <w:left w:val="nil"/>
              <w:bottom w:val="single" w:color="auto" w:sz="4" w:space="0"/>
              <w:right w:val="single" w:color="auto" w:sz="4" w:space="0"/>
            </w:tcBorders>
            <w:noWrap w:val="0"/>
            <w:vAlign w:val="center"/>
          </w:tcPr>
          <w:p w14:paraId="13BD982D">
            <w:pPr>
              <w:widowControl/>
              <w:jc w:val="left"/>
              <w:rPr>
                <w:rFonts w:ascii="宋体" w:hAnsi="宋体"/>
                <w:snapToGrid w:val="0"/>
                <w:kern w:val="0"/>
                <w:sz w:val="24"/>
                <w:szCs w:val="24"/>
                <w:highlight w:val="none"/>
              </w:rPr>
            </w:pPr>
          </w:p>
        </w:tc>
        <w:tc>
          <w:tcPr>
            <w:tcW w:w="816" w:type="dxa"/>
            <w:tcBorders>
              <w:top w:val="nil"/>
              <w:left w:val="nil"/>
              <w:bottom w:val="single" w:color="auto" w:sz="4" w:space="0"/>
              <w:right w:val="single" w:color="auto" w:sz="4" w:space="0"/>
            </w:tcBorders>
            <w:noWrap w:val="0"/>
            <w:vAlign w:val="center"/>
          </w:tcPr>
          <w:p w14:paraId="4F6A9AD5">
            <w:pPr>
              <w:widowControl/>
              <w:jc w:val="left"/>
              <w:rPr>
                <w:rFonts w:ascii="宋体" w:hAnsi="宋体"/>
                <w:snapToGrid w:val="0"/>
                <w:kern w:val="0"/>
                <w:sz w:val="24"/>
                <w:szCs w:val="24"/>
                <w:highlight w:val="none"/>
              </w:rPr>
            </w:pPr>
          </w:p>
        </w:tc>
        <w:tc>
          <w:tcPr>
            <w:tcW w:w="1365" w:type="dxa"/>
            <w:tcBorders>
              <w:top w:val="nil"/>
              <w:left w:val="nil"/>
              <w:bottom w:val="single" w:color="auto" w:sz="4" w:space="0"/>
              <w:right w:val="single" w:color="auto" w:sz="4" w:space="0"/>
            </w:tcBorders>
            <w:noWrap w:val="0"/>
            <w:vAlign w:val="center"/>
          </w:tcPr>
          <w:p w14:paraId="79B08E73">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r>
      <w:tr w14:paraId="47CA9F76">
        <w:tblPrEx>
          <w:tblCellMar>
            <w:top w:w="0" w:type="dxa"/>
            <w:left w:w="108" w:type="dxa"/>
            <w:bottom w:w="0" w:type="dxa"/>
            <w:right w:w="108" w:type="dxa"/>
          </w:tblCellMar>
        </w:tblPrEx>
        <w:trPr>
          <w:trHeight w:val="567" w:hRule="atLeast"/>
          <w:jc w:val="center"/>
        </w:trPr>
        <w:tc>
          <w:tcPr>
            <w:tcW w:w="709" w:type="dxa"/>
            <w:tcBorders>
              <w:top w:val="nil"/>
              <w:left w:val="single" w:color="auto" w:sz="4" w:space="0"/>
              <w:bottom w:val="single" w:color="auto" w:sz="4" w:space="0"/>
              <w:right w:val="single" w:color="auto" w:sz="4" w:space="0"/>
            </w:tcBorders>
            <w:noWrap w:val="0"/>
            <w:vAlign w:val="center"/>
          </w:tcPr>
          <w:p w14:paraId="7FF157FE">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2</w:t>
            </w:r>
          </w:p>
        </w:tc>
        <w:tc>
          <w:tcPr>
            <w:tcW w:w="1181" w:type="dxa"/>
            <w:tcBorders>
              <w:top w:val="nil"/>
              <w:left w:val="nil"/>
              <w:bottom w:val="single" w:color="auto" w:sz="4" w:space="0"/>
              <w:right w:val="single" w:color="auto" w:sz="4" w:space="0"/>
            </w:tcBorders>
            <w:noWrap w:val="0"/>
            <w:vAlign w:val="center"/>
          </w:tcPr>
          <w:p w14:paraId="744CA843">
            <w:pPr>
              <w:widowControl/>
              <w:jc w:val="center"/>
              <w:rPr>
                <w:rFonts w:ascii="宋体" w:hAnsi="宋体"/>
                <w:snapToGrid w:val="0"/>
                <w:kern w:val="0"/>
                <w:sz w:val="24"/>
                <w:szCs w:val="24"/>
                <w:highlight w:val="none"/>
              </w:rPr>
            </w:pPr>
          </w:p>
        </w:tc>
        <w:tc>
          <w:tcPr>
            <w:tcW w:w="1260" w:type="dxa"/>
            <w:tcBorders>
              <w:top w:val="nil"/>
              <w:left w:val="nil"/>
              <w:bottom w:val="single" w:color="auto" w:sz="4" w:space="0"/>
              <w:right w:val="single" w:color="auto" w:sz="4" w:space="0"/>
            </w:tcBorders>
            <w:noWrap w:val="0"/>
            <w:vAlign w:val="center"/>
          </w:tcPr>
          <w:p w14:paraId="5B12D8EF">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p w14:paraId="408B8DA9">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c>
          <w:tcPr>
            <w:tcW w:w="735" w:type="dxa"/>
            <w:tcBorders>
              <w:top w:val="nil"/>
              <w:left w:val="nil"/>
              <w:bottom w:val="single" w:color="auto" w:sz="4" w:space="0"/>
              <w:right w:val="single" w:color="auto" w:sz="4" w:space="0"/>
            </w:tcBorders>
            <w:noWrap w:val="0"/>
            <w:vAlign w:val="center"/>
          </w:tcPr>
          <w:p w14:paraId="74EBC001">
            <w:pPr>
              <w:widowControl/>
              <w:jc w:val="left"/>
              <w:rPr>
                <w:rFonts w:ascii="宋体" w:hAnsi="宋体"/>
                <w:snapToGrid w:val="0"/>
                <w:kern w:val="0"/>
                <w:sz w:val="24"/>
                <w:szCs w:val="24"/>
                <w:highlight w:val="none"/>
              </w:rPr>
            </w:pPr>
          </w:p>
          <w:p w14:paraId="230F5825">
            <w:pPr>
              <w:widowControl/>
              <w:jc w:val="left"/>
              <w:rPr>
                <w:rFonts w:ascii="宋体" w:hAnsi="宋体"/>
                <w:snapToGrid w:val="0"/>
                <w:kern w:val="0"/>
                <w:sz w:val="24"/>
                <w:szCs w:val="24"/>
                <w:highlight w:val="none"/>
              </w:rPr>
            </w:pPr>
          </w:p>
        </w:tc>
        <w:tc>
          <w:tcPr>
            <w:tcW w:w="1077" w:type="dxa"/>
            <w:tcBorders>
              <w:top w:val="nil"/>
              <w:left w:val="nil"/>
              <w:bottom w:val="single" w:color="auto" w:sz="4" w:space="0"/>
              <w:right w:val="single" w:color="auto" w:sz="4" w:space="0"/>
            </w:tcBorders>
            <w:noWrap w:val="0"/>
            <w:vAlign w:val="center"/>
          </w:tcPr>
          <w:p w14:paraId="44DB213D">
            <w:pPr>
              <w:widowControl/>
              <w:jc w:val="left"/>
              <w:rPr>
                <w:rFonts w:ascii="宋体" w:hAnsi="宋体"/>
                <w:snapToGrid w:val="0"/>
                <w:kern w:val="0"/>
                <w:sz w:val="24"/>
                <w:szCs w:val="24"/>
                <w:highlight w:val="none"/>
              </w:rPr>
            </w:pPr>
          </w:p>
          <w:p w14:paraId="3693964F">
            <w:pPr>
              <w:widowControl/>
              <w:jc w:val="left"/>
              <w:rPr>
                <w:rFonts w:ascii="宋体" w:hAnsi="宋体"/>
                <w:snapToGrid w:val="0"/>
                <w:kern w:val="0"/>
                <w:sz w:val="24"/>
                <w:szCs w:val="24"/>
                <w:highlight w:val="none"/>
              </w:rPr>
            </w:pPr>
          </w:p>
        </w:tc>
        <w:tc>
          <w:tcPr>
            <w:tcW w:w="992" w:type="dxa"/>
            <w:tcBorders>
              <w:top w:val="nil"/>
              <w:left w:val="nil"/>
              <w:bottom w:val="single" w:color="auto" w:sz="4" w:space="0"/>
              <w:right w:val="single" w:color="auto" w:sz="4" w:space="0"/>
            </w:tcBorders>
            <w:noWrap w:val="0"/>
            <w:vAlign w:val="center"/>
          </w:tcPr>
          <w:p w14:paraId="4F38FC93">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c>
          <w:tcPr>
            <w:tcW w:w="1559" w:type="dxa"/>
            <w:tcBorders>
              <w:top w:val="nil"/>
              <w:left w:val="nil"/>
              <w:bottom w:val="single" w:color="auto" w:sz="4" w:space="0"/>
              <w:right w:val="single" w:color="auto" w:sz="4" w:space="0"/>
            </w:tcBorders>
            <w:noWrap w:val="0"/>
            <w:vAlign w:val="center"/>
          </w:tcPr>
          <w:p w14:paraId="3A0BA7A6">
            <w:pPr>
              <w:widowControl/>
              <w:jc w:val="left"/>
              <w:rPr>
                <w:rFonts w:ascii="宋体" w:hAnsi="宋体"/>
                <w:snapToGrid w:val="0"/>
                <w:kern w:val="0"/>
                <w:sz w:val="24"/>
                <w:szCs w:val="24"/>
                <w:highlight w:val="none"/>
              </w:rPr>
            </w:pPr>
          </w:p>
        </w:tc>
        <w:tc>
          <w:tcPr>
            <w:tcW w:w="816" w:type="dxa"/>
            <w:tcBorders>
              <w:top w:val="nil"/>
              <w:left w:val="nil"/>
              <w:bottom w:val="single" w:color="auto" w:sz="4" w:space="0"/>
              <w:right w:val="single" w:color="auto" w:sz="4" w:space="0"/>
            </w:tcBorders>
            <w:noWrap w:val="0"/>
            <w:vAlign w:val="center"/>
          </w:tcPr>
          <w:p w14:paraId="55344A23">
            <w:pPr>
              <w:widowControl/>
              <w:jc w:val="left"/>
              <w:rPr>
                <w:rFonts w:ascii="宋体" w:hAnsi="宋体"/>
                <w:snapToGrid w:val="0"/>
                <w:kern w:val="0"/>
                <w:sz w:val="24"/>
                <w:szCs w:val="24"/>
                <w:highlight w:val="none"/>
              </w:rPr>
            </w:pPr>
          </w:p>
        </w:tc>
        <w:tc>
          <w:tcPr>
            <w:tcW w:w="1365" w:type="dxa"/>
            <w:tcBorders>
              <w:top w:val="nil"/>
              <w:left w:val="nil"/>
              <w:bottom w:val="single" w:color="auto" w:sz="4" w:space="0"/>
              <w:right w:val="single" w:color="auto" w:sz="4" w:space="0"/>
            </w:tcBorders>
            <w:noWrap w:val="0"/>
            <w:vAlign w:val="center"/>
          </w:tcPr>
          <w:p w14:paraId="0E121766">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r>
      <w:tr w14:paraId="2FABB8D4">
        <w:tblPrEx>
          <w:tblCellMar>
            <w:top w:w="0" w:type="dxa"/>
            <w:left w:w="108" w:type="dxa"/>
            <w:bottom w:w="0" w:type="dxa"/>
            <w:right w:w="108" w:type="dxa"/>
          </w:tblCellMar>
        </w:tblPrEx>
        <w:trPr>
          <w:trHeight w:val="567" w:hRule="atLeast"/>
          <w:jc w:val="center"/>
        </w:trPr>
        <w:tc>
          <w:tcPr>
            <w:tcW w:w="709" w:type="dxa"/>
            <w:tcBorders>
              <w:top w:val="nil"/>
              <w:left w:val="single" w:color="auto" w:sz="4" w:space="0"/>
              <w:bottom w:val="single" w:color="auto" w:sz="4" w:space="0"/>
              <w:right w:val="single" w:color="auto" w:sz="4" w:space="0"/>
            </w:tcBorders>
            <w:noWrap w:val="0"/>
            <w:vAlign w:val="center"/>
          </w:tcPr>
          <w:p w14:paraId="6E6ACCF0">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3</w:t>
            </w:r>
          </w:p>
        </w:tc>
        <w:tc>
          <w:tcPr>
            <w:tcW w:w="1181" w:type="dxa"/>
            <w:tcBorders>
              <w:top w:val="nil"/>
              <w:left w:val="nil"/>
              <w:bottom w:val="single" w:color="auto" w:sz="4" w:space="0"/>
              <w:right w:val="single" w:color="auto" w:sz="4" w:space="0"/>
            </w:tcBorders>
            <w:noWrap w:val="0"/>
            <w:vAlign w:val="center"/>
          </w:tcPr>
          <w:p w14:paraId="63F892D2">
            <w:pPr>
              <w:widowControl/>
              <w:jc w:val="center"/>
              <w:rPr>
                <w:rFonts w:ascii="宋体" w:hAnsi="宋体"/>
                <w:snapToGrid w:val="0"/>
                <w:kern w:val="0"/>
                <w:sz w:val="24"/>
                <w:szCs w:val="24"/>
                <w:highlight w:val="none"/>
              </w:rPr>
            </w:pPr>
          </w:p>
        </w:tc>
        <w:tc>
          <w:tcPr>
            <w:tcW w:w="1260" w:type="dxa"/>
            <w:tcBorders>
              <w:top w:val="nil"/>
              <w:left w:val="nil"/>
              <w:bottom w:val="single" w:color="auto" w:sz="4" w:space="0"/>
              <w:right w:val="single" w:color="auto" w:sz="4" w:space="0"/>
            </w:tcBorders>
            <w:noWrap w:val="0"/>
            <w:vAlign w:val="center"/>
          </w:tcPr>
          <w:p w14:paraId="68756942">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p w14:paraId="6EBBCE18">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c>
          <w:tcPr>
            <w:tcW w:w="735" w:type="dxa"/>
            <w:tcBorders>
              <w:top w:val="nil"/>
              <w:left w:val="nil"/>
              <w:bottom w:val="single" w:color="auto" w:sz="4" w:space="0"/>
              <w:right w:val="single" w:color="auto" w:sz="4" w:space="0"/>
            </w:tcBorders>
            <w:noWrap w:val="0"/>
            <w:vAlign w:val="center"/>
          </w:tcPr>
          <w:p w14:paraId="53AD17F6">
            <w:pPr>
              <w:widowControl/>
              <w:jc w:val="left"/>
              <w:rPr>
                <w:rFonts w:ascii="宋体" w:hAnsi="宋体"/>
                <w:snapToGrid w:val="0"/>
                <w:kern w:val="0"/>
                <w:sz w:val="24"/>
                <w:szCs w:val="24"/>
                <w:highlight w:val="none"/>
              </w:rPr>
            </w:pPr>
          </w:p>
          <w:p w14:paraId="0D1CD263">
            <w:pPr>
              <w:widowControl/>
              <w:jc w:val="left"/>
              <w:rPr>
                <w:rFonts w:ascii="宋体" w:hAnsi="宋体"/>
                <w:snapToGrid w:val="0"/>
                <w:kern w:val="0"/>
                <w:sz w:val="24"/>
                <w:szCs w:val="24"/>
                <w:highlight w:val="none"/>
              </w:rPr>
            </w:pPr>
          </w:p>
        </w:tc>
        <w:tc>
          <w:tcPr>
            <w:tcW w:w="1077" w:type="dxa"/>
            <w:tcBorders>
              <w:top w:val="nil"/>
              <w:left w:val="nil"/>
              <w:bottom w:val="single" w:color="auto" w:sz="4" w:space="0"/>
              <w:right w:val="single" w:color="auto" w:sz="4" w:space="0"/>
            </w:tcBorders>
            <w:noWrap w:val="0"/>
            <w:vAlign w:val="center"/>
          </w:tcPr>
          <w:p w14:paraId="6C9B981C">
            <w:pPr>
              <w:widowControl/>
              <w:jc w:val="left"/>
              <w:rPr>
                <w:rFonts w:ascii="宋体" w:hAnsi="宋体"/>
                <w:snapToGrid w:val="0"/>
                <w:kern w:val="0"/>
                <w:sz w:val="24"/>
                <w:szCs w:val="24"/>
                <w:highlight w:val="none"/>
              </w:rPr>
            </w:pPr>
          </w:p>
          <w:p w14:paraId="3F2D15F6">
            <w:pPr>
              <w:widowControl/>
              <w:jc w:val="left"/>
              <w:rPr>
                <w:rFonts w:ascii="宋体" w:hAnsi="宋体"/>
                <w:snapToGrid w:val="0"/>
                <w:kern w:val="0"/>
                <w:sz w:val="24"/>
                <w:szCs w:val="24"/>
                <w:highlight w:val="none"/>
              </w:rPr>
            </w:pPr>
          </w:p>
        </w:tc>
        <w:tc>
          <w:tcPr>
            <w:tcW w:w="992" w:type="dxa"/>
            <w:tcBorders>
              <w:top w:val="nil"/>
              <w:left w:val="nil"/>
              <w:bottom w:val="single" w:color="auto" w:sz="4" w:space="0"/>
              <w:right w:val="single" w:color="auto" w:sz="4" w:space="0"/>
            </w:tcBorders>
            <w:noWrap w:val="0"/>
            <w:vAlign w:val="center"/>
          </w:tcPr>
          <w:p w14:paraId="4CFE489F">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c>
          <w:tcPr>
            <w:tcW w:w="1559" w:type="dxa"/>
            <w:tcBorders>
              <w:top w:val="nil"/>
              <w:left w:val="nil"/>
              <w:bottom w:val="single" w:color="auto" w:sz="4" w:space="0"/>
              <w:right w:val="single" w:color="auto" w:sz="4" w:space="0"/>
            </w:tcBorders>
            <w:noWrap w:val="0"/>
            <w:vAlign w:val="center"/>
          </w:tcPr>
          <w:p w14:paraId="06995018">
            <w:pPr>
              <w:widowControl/>
              <w:jc w:val="left"/>
              <w:rPr>
                <w:rFonts w:ascii="宋体" w:hAnsi="宋体"/>
                <w:snapToGrid w:val="0"/>
                <w:kern w:val="0"/>
                <w:sz w:val="24"/>
                <w:szCs w:val="24"/>
                <w:highlight w:val="none"/>
              </w:rPr>
            </w:pPr>
          </w:p>
        </w:tc>
        <w:tc>
          <w:tcPr>
            <w:tcW w:w="816" w:type="dxa"/>
            <w:tcBorders>
              <w:top w:val="nil"/>
              <w:left w:val="nil"/>
              <w:bottom w:val="single" w:color="auto" w:sz="4" w:space="0"/>
              <w:right w:val="single" w:color="auto" w:sz="4" w:space="0"/>
            </w:tcBorders>
            <w:noWrap w:val="0"/>
            <w:vAlign w:val="center"/>
          </w:tcPr>
          <w:p w14:paraId="0A1F01D5">
            <w:pPr>
              <w:widowControl/>
              <w:jc w:val="left"/>
              <w:rPr>
                <w:rFonts w:ascii="宋体" w:hAnsi="宋体"/>
                <w:snapToGrid w:val="0"/>
                <w:kern w:val="0"/>
                <w:sz w:val="24"/>
                <w:szCs w:val="24"/>
                <w:highlight w:val="none"/>
              </w:rPr>
            </w:pPr>
          </w:p>
        </w:tc>
        <w:tc>
          <w:tcPr>
            <w:tcW w:w="1365" w:type="dxa"/>
            <w:tcBorders>
              <w:top w:val="nil"/>
              <w:left w:val="nil"/>
              <w:bottom w:val="single" w:color="auto" w:sz="4" w:space="0"/>
              <w:right w:val="single" w:color="auto" w:sz="4" w:space="0"/>
            </w:tcBorders>
            <w:noWrap w:val="0"/>
            <w:vAlign w:val="center"/>
          </w:tcPr>
          <w:p w14:paraId="2A6A08D3">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r>
      <w:tr w14:paraId="31394602">
        <w:tblPrEx>
          <w:tblCellMar>
            <w:top w:w="0" w:type="dxa"/>
            <w:left w:w="108" w:type="dxa"/>
            <w:bottom w:w="0" w:type="dxa"/>
            <w:right w:w="108" w:type="dxa"/>
          </w:tblCellMar>
        </w:tblPrEx>
        <w:trPr>
          <w:trHeight w:val="567" w:hRule="atLeast"/>
          <w:jc w:val="center"/>
        </w:trPr>
        <w:tc>
          <w:tcPr>
            <w:tcW w:w="709" w:type="dxa"/>
            <w:tcBorders>
              <w:top w:val="nil"/>
              <w:left w:val="single" w:color="auto" w:sz="4" w:space="0"/>
              <w:bottom w:val="single" w:color="auto" w:sz="4" w:space="0"/>
              <w:right w:val="single" w:color="auto" w:sz="4" w:space="0"/>
            </w:tcBorders>
            <w:noWrap w:val="0"/>
            <w:vAlign w:val="center"/>
          </w:tcPr>
          <w:p w14:paraId="07A76FC4">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4</w:t>
            </w:r>
          </w:p>
        </w:tc>
        <w:tc>
          <w:tcPr>
            <w:tcW w:w="1181" w:type="dxa"/>
            <w:tcBorders>
              <w:top w:val="nil"/>
              <w:left w:val="nil"/>
              <w:bottom w:val="single" w:color="auto" w:sz="4" w:space="0"/>
              <w:right w:val="single" w:color="auto" w:sz="4" w:space="0"/>
            </w:tcBorders>
            <w:noWrap w:val="0"/>
            <w:vAlign w:val="center"/>
          </w:tcPr>
          <w:p w14:paraId="0FAEFA0A">
            <w:pPr>
              <w:widowControl/>
              <w:jc w:val="center"/>
              <w:rPr>
                <w:rFonts w:ascii="宋体" w:hAnsi="宋体"/>
                <w:snapToGrid w:val="0"/>
                <w:kern w:val="0"/>
                <w:sz w:val="24"/>
                <w:szCs w:val="24"/>
                <w:highlight w:val="none"/>
              </w:rPr>
            </w:pPr>
          </w:p>
        </w:tc>
        <w:tc>
          <w:tcPr>
            <w:tcW w:w="1260" w:type="dxa"/>
            <w:tcBorders>
              <w:top w:val="nil"/>
              <w:left w:val="nil"/>
              <w:bottom w:val="single" w:color="auto" w:sz="4" w:space="0"/>
              <w:right w:val="single" w:color="auto" w:sz="4" w:space="0"/>
            </w:tcBorders>
            <w:noWrap w:val="0"/>
            <w:vAlign w:val="center"/>
          </w:tcPr>
          <w:p w14:paraId="47A119C4">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p w14:paraId="7BB70EDB">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c>
          <w:tcPr>
            <w:tcW w:w="735" w:type="dxa"/>
            <w:tcBorders>
              <w:top w:val="nil"/>
              <w:left w:val="nil"/>
              <w:bottom w:val="single" w:color="auto" w:sz="4" w:space="0"/>
              <w:right w:val="single" w:color="auto" w:sz="4" w:space="0"/>
            </w:tcBorders>
            <w:noWrap w:val="0"/>
            <w:vAlign w:val="center"/>
          </w:tcPr>
          <w:p w14:paraId="6CF4EFE0">
            <w:pPr>
              <w:widowControl/>
              <w:jc w:val="left"/>
              <w:rPr>
                <w:rFonts w:ascii="宋体" w:hAnsi="宋体"/>
                <w:snapToGrid w:val="0"/>
                <w:kern w:val="0"/>
                <w:sz w:val="24"/>
                <w:szCs w:val="24"/>
                <w:highlight w:val="none"/>
              </w:rPr>
            </w:pPr>
          </w:p>
          <w:p w14:paraId="0D0546CA">
            <w:pPr>
              <w:widowControl/>
              <w:jc w:val="left"/>
              <w:rPr>
                <w:rFonts w:ascii="宋体" w:hAnsi="宋体"/>
                <w:snapToGrid w:val="0"/>
                <w:kern w:val="0"/>
                <w:sz w:val="24"/>
                <w:szCs w:val="24"/>
                <w:highlight w:val="none"/>
              </w:rPr>
            </w:pPr>
          </w:p>
        </w:tc>
        <w:tc>
          <w:tcPr>
            <w:tcW w:w="1077" w:type="dxa"/>
            <w:tcBorders>
              <w:top w:val="nil"/>
              <w:left w:val="nil"/>
              <w:bottom w:val="single" w:color="auto" w:sz="4" w:space="0"/>
              <w:right w:val="single" w:color="auto" w:sz="4" w:space="0"/>
            </w:tcBorders>
            <w:noWrap w:val="0"/>
            <w:vAlign w:val="center"/>
          </w:tcPr>
          <w:p w14:paraId="568BA843">
            <w:pPr>
              <w:widowControl/>
              <w:jc w:val="left"/>
              <w:rPr>
                <w:rFonts w:ascii="宋体" w:hAnsi="宋体"/>
                <w:snapToGrid w:val="0"/>
                <w:kern w:val="0"/>
                <w:sz w:val="24"/>
                <w:szCs w:val="24"/>
                <w:highlight w:val="none"/>
              </w:rPr>
            </w:pPr>
          </w:p>
          <w:p w14:paraId="24E86ED7">
            <w:pPr>
              <w:widowControl/>
              <w:jc w:val="left"/>
              <w:rPr>
                <w:rFonts w:ascii="宋体" w:hAnsi="宋体"/>
                <w:snapToGrid w:val="0"/>
                <w:kern w:val="0"/>
                <w:sz w:val="24"/>
                <w:szCs w:val="24"/>
                <w:highlight w:val="none"/>
              </w:rPr>
            </w:pPr>
          </w:p>
        </w:tc>
        <w:tc>
          <w:tcPr>
            <w:tcW w:w="992" w:type="dxa"/>
            <w:tcBorders>
              <w:top w:val="nil"/>
              <w:left w:val="nil"/>
              <w:bottom w:val="single" w:color="auto" w:sz="4" w:space="0"/>
              <w:right w:val="single" w:color="auto" w:sz="4" w:space="0"/>
            </w:tcBorders>
            <w:noWrap w:val="0"/>
            <w:vAlign w:val="center"/>
          </w:tcPr>
          <w:p w14:paraId="61CFA6FA">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c>
          <w:tcPr>
            <w:tcW w:w="1559" w:type="dxa"/>
            <w:tcBorders>
              <w:top w:val="nil"/>
              <w:left w:val="nil"/>
              <w:bottom w:val="single" w:color="auto" w:sz="4" w:space="0"/>
              <w:right w:val="single" w:color="auto" w:sz="4" w:space="0"/>
            </w:tcBorders>
            <w:noWrap w:val="0"/>
            <w:vAlign w:val="center"/>
          </w:tcPr>
          <w:p w14:paraId="3FBCF34B">
            <w:pPr>
              <w:widowControl/>
              <w:jc w:val="left"/>
              <w:rPr>
                <w:rFonts w:ascii="宋体" w:hAnsi="宋体"/>
                <w:snapToGrid w:val="0"/>
                <w:kern w:val="0"/>
                <w:sz w:val="24"/>
                <w:szCs w:val="24"/>
                <w:highlight w:val="none"/>
              </w:rPr>
            </w:pPr>
          </w:p>
        </w:tc>
        <w:tc>
          <w:tcPr>
            <w:tcW w:w="816" w:type="dxa"/>
            <w:tcBorders>
              <w:top w:val="nil"/>
              <w:left w:val="nil"/>
              <w:bottom w:val="single" w:color="auto" w:sz="4" w:space="0"/>
              <w:right w:val="single" w:color="auto" w:sz="4" w:space="0"/>
            </w:tcBorders>
            <w:noWrap w:val="0"/>
            <w:vAlign w:val="center"/>
          </w:tcPr>
          <w:p w14:paraId="2626350B">
            <w:pPr>
              <w:widowControl/>
              <w:jc w:val="left"/>
              <w:rPr>
                <w:rFonts w:ascii="宋体" w:hAnsi="宋体"/>
                <w:snapToGrid w:val="0"/>
                <w:kern w:val="0"/>
                <w:sz w:val="24"/>
                <w:szCs w:val="24"/>
                <w:highlight w:val="none"/>
              </w:rPr>
            </w:pPr>
          </w:p>
        </w:tc>
        <w:tc>
          <w:tcPr>
            <w:tcW w:w="1365" w:type="dxa"/>
            <w:tcBorders>
              <w:top w:val="nil"/>
              <w:left w:val="nil"/>
              <w:bottom w:val="single" w:color="auto" w:sz="4" w:space="0"/>
              <w:right w:val="single" w:color="auto" w:sz="4" w:space="0"/>
            </w:tcBorders>
            <w:noWrap w:val="0"/>
            <w:vAlign w:val="center"/>
          </w:tcPr>
          <w:p w14:paraId="5933CD24">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r>
      <w:tr w14:paraId="37937A66">
        <w:tblPrEx>
          <w:tblCellMar>
            <w:top w:w="0" w:type="dxa"/>
            <w:left w:w="108" w:type="dxa"/>
            <w:bottom w:w="0" w:type="dxa"/>
            <w:right w:w="108" w:type="dxa"/>
          </w:tblCellMar>
        </w:tblPrEx>
        <w:trPr>
          <w:trHeight w:val="567" w:hRule="atLeast"/>
          <w:jc w:val="center"/>
        </w:trPr>
        <w:tc>
          <w:tcPr>
            <w:tcW w:w="709" w:type="dxa"/>
            <w:tcBorders>
              <w:top w:val="nil"/>
              <w:left w:val="single" w:color="auto" w:sz="4" w:space="0"/>
              <w:bottom w:val="single" w:color="auto" w:sz="4" w:space="0"/>
              <w:right w:val="single" w:color="auto" w:sz="4" w:space="0"/>
            </w:tcBorders>
            <w:noWrap w:val="0"/>
            <w:vAlign w:val="center"/>
          </w:tcPr>
          <w:p w14:paraId="0C806972">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5</w:t>
            </w:r>
          </w:p>
        </w:tc>
        <w:tc>
          <w:tcPr>
            <w:tcW w:w="1181" w:type="dxa"/>
            <w:tcBorders>
              <w:top w:val="nil"/>
              <w:left w:val="nil"/>
              <w:bottom w:val="single" w:color="auto" w:sz="4" w:space="0"/>
              <w:right w:val="single" w:color="auto" w:sz="4" w:space="0"/>
            </w:tcBorders>
            <w:noWrap w:val="0"/>
            <w:vAlign w:val="center"/>
          </w:tcPr>
          <w:p w14:paraId="0DA3A4DB">
            <w:pPr>
              <w:widowControl/>
              <w:jc w:val="center"/>
              <w:rPr>
                <w:rFonts w:ascii="宋体" w:hAnsi="宋体"/>
                <w:snapToGrid w:val="0"/>
                <w:kern w:val="0"/>
                <w:sz w:val="24"/>
                <w:szCs w:val="24"/>
                <w:highlight w:val="none"/>
              </w:rPr>
            </w:pPr>
          </w:p>
        </w:tc>
        <w:tc>
          <w:tcPr>
            <w:tcW w:w="1260" w:type="dxa"/>
            <w:tcBorders>
              <w:top w:val="nil"/>
              <w:left w:val="nil"/>
              <w:bottom w:val="single" w:color="auto" w:sz="4" w:space="0"/>
              <w:right w:val="single" w:color="auto" w:sz="4" w:space="0"/>
            </w:tcBorders>
            <w:noWrap w:val="0"/>
            <w:vAlign w:val="center"/>
          </w:tcPr>
          <w:p w14:paraId="08C26406">
            <w:pPr>
              <w:widowControl/>
              <w:jc w:val="left"/>
              <w:rPr>
                <w:rFonts w:ascii="宋体" w:hAnsi="宋体"/>
                <w:snapToGrid w:val="0"/>
                <w:kern w:val="0"/>
                <w:sz w:val="24"/>
                <w:szCs w:val="24"/>
                <w:highlight w:val="none"/>
              </w:rPr>
            </w:pPr>
          </w:p>
        </w:tc>
        <w:tc>
          <w:tcPr>
            <w:tcW w:w="735" w:type="dxa"/>
            <w:tcBorders>
              <w:top w:val="nil"/>
              <w:left w:val="nil"/>
              <w:bottom w:val="single" w:color="auto" w:sz="4" w:space="0"/>
              <w:right w:val="single" w:color="auto" w:sz="4" w:space="0"/>
            </w:tcBorders>
            <w:noWrap w:val="0"/>
            <w:vAlign w:val="center"/>
          </w:tcPr>
          <w:p w14:paraId="627CE39B">
            <w:pPr>
              <w:widowControl/>
              <w:jc w:val="left"/>
              <w:rPr>
                <w:rFonts w:ascii="宋体" w:hAnsi="宋体"/>
                <w:snapToGrid w:val="0"/>
                <w:kern w:val="0"/>
                <w:sz w:val="24"/>
                <w:szCs w:val="24"/>
                <w:highlight w:val="none"/>
              </w:rPr>
            </w:pPr>
          </w:p>
        </w:tc>
        <w:tc>
          <w:tcPr>
            <w:tcW w:w="1077" w:type="dxa"/>
            <w:tcBorders>
              <w:top w:val="nil"/>
              <w:left w:val="nil"/>
              <w:bottom w:val="single" w:color="auto" w:sz="4" w:space="0"/>
              <w:right w:val="single" w:color="auto" w:sz="4" w:space="0"/>
            </w:tcBorders>
            <w:noWrap w:val="0"/>
            <w:vAlign w:val="center"/>
          </w:tcPr>
          <w:p w14:paraId="5F534C23">
            <w:pPr>
              <w:widowControl/>
              <w:jc w:val="left"/>
              <w:rPr>
                <w:rFonts w:ascii="宋体" w:hAnsi="宋体"/>
                <w:snapToGrid w:val="0"/>
                <w:kern w:val="0"/>
                <w:sz w:val="24"/>
                <w:szCs w:val="24"/>
                <w:highlight w:val="none"/>
              </w:rPr>
            </w:pPr>
          </w:p>
        </w:tc>
        <w:tc>
          <w:tcPr>
            <w:tcW w:w="992" w:type="dxa"/>
            <w:tcBorders>
              <w:top w:val="nil"/>
              <w:left w:val="nil"/>
              <w:bottom w:val="single" w:color="auto" w:sz="4" w:space="0"/>
              <w:right w:val="single" w:color="auto" w:sz="4" w:space="0"/>
            </w:tcBorders>
            <w:noWrap w:val="0"/>
            <w:vAlign w:val="center"/>
          </w:tcPr>
          <w:p w14:paraId="79CDE810">
            <w:pPr>
              <w:widowControl/>
              <w:jc w:val="left"/>
              <w:rPr>
                <w:rFonts w:ascii="宋体" w:hAnsi="宋体"/>
                <w:snapToGrid w:val="0"/>
                <w:kern w:val="0"/>
                <w:sz w:val="24"/>
                <w:szCs w:val="24"/>
                <w:highlight w:val="none"/>
              </w:rPr>
            </w:pPr>
          </w:p>
        </w:tc>
        <w:tc>
          <w:tcPr>
            <w:tcW w:w="1559" w:type="dxa"/>
            <w:tcBorders>
              <w:top w:val="nil"/>
              <w:left w:val="nil"/>
              <w:bottom w:val="single" w:color="auto" w:sz="4" w:space="0"/>
              <w:right w:val="single" w:color="auto" w:sz="4" w:space="0"/>
            </w:tcBorders>
            <w:noWrap w:val="0"/>
            <w:vAlign w:val="center"/>
          </w:tcPr>
          <w:p w14:paraId="5A11D167">
            <w:pPr>
              <w:widowControl/>
              <w:jc w:val="left"/>
              <w:rPr>
                <w:rFonts w:ascii="宋体" w:hAnsi="宋体"/>
                <w:snapToGrid w:val="0"/>
                <w:kern w:val="0"/>
                <w:sz w:val="24"/>
                <w:szCs w:val="24"/>
                <w:highlight w:val="none"/>
              </w:rPr>
            </w:pPr>
          </w:p>
        </w:tc>
        <w:tc>
          <w:tcPr>
            <w:tcW w:w="816" w:type="dxa"/>
            <w:tcBorders>
              <w:top w:val="nil"/>
              <w:left w:val="nil"/>
              <w:bottom w:val="single" w:color="auto" w:sz="4" w:space="0"/>
              <w:right w:val="single" w:color="auto" w:sz="4" w:space="0"/>
            </w:tcBorders>
            <w:noWrap w:val="0"/>
            <w:vAlign w:val="center"/>
          </w:tcPr>
          <w:p w14:paraId="7500DFC5">
            <w:pPr>
              <w:widowControl/>
              <w:jc w:val="left"/>
              <w:rPr>
                <w:rFonts w:ascii="宋体" w:hAnsi="宋体"/>
                <w:snapToGrid w:val="0"/>
                <w:kern w:val="0"/>
                <w:sz w:val="24"/>
                <w:szCs w:val="24"/>
                <w:highlight w:val="none"/>
              </w:rPr>
            </w:pPr>
          </w:p>
        </w:tc>
        <w:tc>
          <w:tcPr>
            <w:tcW w:w="1365" w:type="dxa"/>
            <w:tcBorders>
              <w:top w:val="nil"/>
              <w:left w:val="nil"/>
              <w:bottom w:val="single" w:color="auto" w:sz="4" w:space="0"/>
              <w:right w:val="single" w:color="auto" w:sz="4" w:space="0"/>
            </w:tcBorders>
            <w:noWrap w:val="0"/>
            <w:vAlign w:val="center"/>
          </w:tcPr>
          <w:p w14:paraId="157B6981">
            <w:pPr>
              <w:widowControl/>
              <w:jc w:val="left"/>
              <w:rPr>
                <w:rFonts w:ascii="宋体" w:hAnsi="宋体"/>
                <w:snapToGrid w:val="0"/>
                <w:kern w:val="0"/>
                <w:sz w:val="24"/>
                <w:szCs w:val="24"/>
                <w:highlight w:val="none"/>
              </w:rPr>
            </w:pPr>
          </w:p>
        </w:tc>
      </w:tr>
      <w:tr w14:paraId="36AF5812">
        <w:tblPrEx>
          <w:tblCellMar>
            <w:top w:w="0" w:type="dxa"/>
            <w:left w:w="108" w:type="dxa"/>
            <w:bottom w:w="0" w:type="dxa"/>
            <w:right w:w="108" w:type="dxa"/>
          </w:tblCellMar>
        </w:tblPrEx>
        <w:trPr>
          <w:trHeight w:val="567" w:hRule="atLeast"/>
          <w:jc w:val="center"/>
        </w:trPr>
        <w:tc>
          <w:tcPr>
            <w:tcW w:w="709" w:type="dxa"/>
            <w:tcBorders>
              <w:top w:val="nil"/>
              <w:left w:val="single" w:color="auto" w:sz="4" w:space="0"/>
              <w:bottom w:val="single" w:color="auto" w:sz="4" w:space="0"/>
              <w:right w:val="single" w:color="auto" w:sz="4" w:space="0"/>
            </w:tcBorders>
            <w:noWrap w:val="0"/>
            <w:vAlign w:val="center"/>
          </w:tcPr>
          <w:p w14:paraId="1E37E4F5">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w:t>
            </w:r>
          </w:p>
        </w:tc>
        <w:tc>
          <w:tcPr>
            <w:tcW w:w="1181" w:type="dxa"/>
            <w:tcBorders>
              <w:top w:val="nil"/>
              <w:left w:val="nil"/>
              <w:bottom w:val="single" w:color="auto" w:sz="4" w:space="0"/>
              <w:right w:val="single" w:color="auto" w:sz="4" w:space="0"/>
            </w:tcBorders>
            <w:noWrap w:val="0"/>
            <w:vAlign w:val="center"/>
          </w:tcPr>
          <w:p w14:paraId="25CE4C3F">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w:t>
            </w:r>
          </w:p>
        </w:tc>
        <w:tc>
          <w:tcPr>
            <w:tcW w:w="1260" w:type="dxa"/>
            <w:tcBorders>
              <w:top w:val="nil"/>
              <w:left w:val="nil"/>
              <w:bottom w:val="single" w:color="auto" w:sz="4" w:space="0"/>
              <w:right w:val="single" w:color="auto" w:sz="4" w:space="0"/>
            </w:tcBorders>
            <w:noWrap w:val="0"/>
            <w:vAlign w:val="center"/>
          </w:tcPr>
          <w:p w14:paraId="5320003D">
            <w:pPr>
              <w:widowControl/>
              <w:jc w:val="left"/>
              <w:rPr>
                <w:rFonts w:ascii="宋体" w:hAnsi="宋体"/>
                <w:snapToGrid w:val="0"/>
                <w:kern w:val="0"/>
                <w:sz w:val="24"/>
                <w:szCs w:val="24"/>
                <w:highlight w:val="none"/>
              </w:rPr>
            </w:pPr>
          </w:p>
        </w:tc>
        <w:tc>
          <w:tcPr>
            <w:tcW w:w="735" w:type="dxa"/>
            <w:tcBorders>
              <w:top w:val="nil"/>
              <w:left w:val="nil"/>
              <w:bottom w:val="single" w:color="auto" w:sz="4" w:space="0"/>
              <w:right w:val="single" w:color="auto" w:sz="4" w:space="0"/>
            </w:tcBorders>
            <w:noWrap w:val="0"/>
            <w:vAlign w:val="center"/>
          </w:tcPr>
          <w:p w14:paraId="4A19BDFE">
            <w:pPr>
              <w:widowControl/>
              <w:jc w:val="left"/>
              <w:rPr>
                <w:rFonts w:ascii="宋体" w:hAnsi="宋体"/>
                <w:snapToGrid w:val="0"/>
                <w:kern w:val="0"/>
                <w:sz w:val="24"/>
                <w:szCs w:val="24"/>
                <w:highlight w:val="none"/>
              </w:rPr>
            </w:pPr>
          </w:p>
        </w:tc>
        <w:tc>
          <w:tcPr>
            <w:tcW w:w="1077" w:type="dxa"/>
            <w:tcBorders>
              <w:top w:val="nil"/>
              <w:left w:val="nil"/>
              <w:bottom w:val="single" w:color="auto" w:sz="4" w:space="0"/>
              <w:right w:val="single" w:color="auto" w:sz="4" w:space="0"/>
            </w:tcBorders>
            <w:noWrap w:val="0"/>
            <w:vAlign w:val="center"/>
          </w:tcPr>
          <w:p w14:paraId="613452F5">
            <w:pPr>
              <w:widowControl/>
              <w:jc w:val="left"/>
              <w:rPr>
                <w:rFonts w:ascii="宋体" w:hAnsi="宋体"/>
                <w:snapToGrid w:val="0"/>
                <w:kern w:val="0"/>
                <w:sz w:val="24"/>
                <w:szCs w:val="24"/>
                <w:highlight w:val="none"/>
              </w:rPr>
            </w:pPr>
          </w:p>
        </w:tc>
        <w:tc>
          <w:tcPr>
            <w:tcW w:w="992" w:type="dxa"/>
            <w:tcBorders>
              <w:top w:val="nil"/>
              <w:left w:val="nil"/>
              <w:bottom w:val="single" w:color="auto" w:sz="4" w:space="0"/>
              <w:right w:val="single" w:color="auto" w:sz="4" w:space="0"/>
            </w:tcBorders>
            <w:noWrap w:val="0"/>
            <w:vAlign w:val="center"/>
          </w:tcPr>
          <w:p w14:paraId="028BEABC">
            <w:pPr>
              <w:widowControl/>
              <w:jc w:val="left"/>
              <w:rPr>
                <w:rFonts w:ascii="宋体" w:hAnsi="宋体"/>
                <w:snapToGrid w:val="0"/>
                <w:kern w:val="0"/>
                <w:sz w:val="24"/>
                <w:szCs w:val="24"/>
                <w:highlight w:val="none"/>
              </w:rPr>
            </w:pPr>
          </w:p>
        </w:tc>
        <w:tc>
          <w:tcPr>
            <w:tcW w:w="1559" w:type="dxa"/>
            <w:tcBorders>
              <w:top w:val="nil"/>
              <w:left w:val="nil"/>
              <w:bottom w:val="single" w:color="auto" w:sz="4" w:space="0"/>
              <w:right w:val="single" w:color="auto" w:sz="4" w:space="0"/>
            </w:tcBorders>
            <w:noWrap w:val="0"/>
            <w:vAlign w:val="center"/>
          </w:tcPr>
          <w:p w14:paraId="2FE191CF">
            <w:pPr>
              <w:widowControl/>
              <w:jc w:val="left"/>
              <w:rPr>
                <w:rFonts w:ascii="宋体" w:hAnsi="宋体"/>
                <w:snapToGrid w:val="0"/>
                <w:kern w:val="0"/>
                <w:sz w:val="24"/>
                <w:szCs w:val="24"/>
                <w:highlight w:val="none"/>
              </w:rPr>
            </w:pPr>
          </w:p>
        </w:tc>
        <w:tc>
          <w:tcPr>
            <w:tcW w:w="816" w:type="dxa"/>
            <w:tcBorders>
              <w:top w:val="nil"/>
              <w:left w:val="nil"/>
              <w:bottom w:val="single" w:color="auto" w:sz="4" w:space="0"/>
              <w:right w:val="single" w:color="auto" w:sz="4" w:space="0"/>
            </w:tcBorders>
            <w:noWrap w:val="0"/>
            <w:vAlign w:val="center"/>
          </w:tcPr>
          <w:p w14:paraId="30196E2F">
            <w:pPr>
              <w:widowControl/>
              <w:jc w:val="left"/>
              <w:rPr>
                <w:rFonts w:ascii="宋体" w:hAnsi="宋体"/>
                <w:snapToGrid w:val="0"/>
                <w:kern w:val="0"/>
                <w:sz w:val="24"/>
                <w:szCs w:val="24"/>
                <w:highlight w:val="none"/>
              </w:rPr>
            </w:pPr>
          </w:p>
        </w:tc>
        <w:tc>
          <w:tcPr>
            <w:tcW w:w="1365" w:type="dxa"/>
            <w:tcBorders>
              <w:top w:val="nil"/>
              <w:left w:val="nil"/>
              <w:bottom w:val="single" w:color="auto" w:sz="4" w:space="0"/>
              <w:right w:val="single" w:color="auto" w:sz="4" w:space="0"/>
            </w:tcBorders>
            <w:noWrap w:val="0"/>
            <w:vAlign w:val="center"/>
          </w:tcPr>
          <w:p w14:paraId="3FB43AC5">
            <w:pPr>
              <w:widowControl/>
              <w:jc w:val="left"/>
              <w:rPr>
                <w:rFonts w:ascii="宋体" w:hAnsi="宋体"/>
                <w:snapToGrid w:val="0"/>
                <w:kern w:val="0"/>
                <w:sz w:val="24"/>
                <w:szCs w:val="24"/>
                <w:highlight w:val="none"/>
              </w:rPr>
            </w:pPr>
          </w:p>
        </w:tc>
      </w:tr>
      <w:tr w14:paraId="2CE0566F">
        <w:tblPrEx>
          <w:tblCellMar>
            <w:top w:w="0" w:type="dxa"/>
            <w:left w:w="108" w:type="dxa"/>
            <w:bottom w:w="0" w:type="dxa"/>
            <w:right w:w="108" w:type="dxa"/>
          </w:tblCellMar>
        </w:tblPrEx>
        <w:trPr>
          <w:trHeight w:val="405" w:hRule="atLeast"/>
          <w:jc w:val="center"/>
        </w:trPr>
        <w:tc>
          <w:tcPr>
            <w:tcW w:w="8329" w:type="dxa"/>
            <w:gridSpan w:val="8"/>
            <w:tcBorders>
              <w:top w:val="single" w:color="auto" w:sz="4" w:space="0"/>
              <w:left w:val="single" w:color="auto" w:sz="4" w:space="0"/>
              <w:bottom w:val="single" w:color="auto" w:sz="4" w:space="0"/>
              <w:right w:val="single" w:color="auto" w:sz="4" w:space="0"/>
            </w:tcBorders>
            <w:noWrap w:val="0"/>
            <w:vAlign w:val="center"/>
          </w:tcPr>
          <w:p w14:paraId="754A6923">
            <w:pPr>
              <w:widowControl/>
              <w:jc w:val="right"/>
              <w:rPr>
                <w:rFonts w:ascii="宋体" w:hAnsi="宋体"/>
                <w:snapToGrid w:val="0"/>
                <w:kern w:val="0"/>
                <w:sz w:val="24"/>
                <w:szCs w:val="24"/>
                <w:highlight w:val="none"/>
              </w:rPr>
            </w:pPr>
            <w:r>
              <w:rPr>
                <w:rFonts w:ascii="宋体" w:hAnsi="宋体"/>
                <w:snapToGrid w:val="0"/>
                <w:kern w:val="0"/>
                <w:sz w:val="24"/>
                <w:szCs w:val="24"/>
                <w:highlight w:val="none"/>
              </w:rPr>
              <w:t>总计</w:t>
            </w:r>
          </w:p>
        </w:tc>
        <w:tc>
          <w:tcPr>
            <w:tcW w:w="1365" w:type="dxa"/>
            <w:tcBorders>
              <w:top w:val="nil"/>
              <w:left w:val="nil"/>
              <w:bottom w:val="single" w:color="auto" w:sz="4" w:space="0"/>
              <w:right w:val="single" w:color="auto" w:sz="4" w:space="0"/>
            </w:tcBorders>
            <w:noWrap w:val="0"/>
            <w:vAlign w:val="center"/>
          </w:tcPr>
          <w:p w14:paraId="2DC7893B">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r>
    </w:tbl>
    <w:p w14:paraId="3163A853">
      <w:pPr>
        <w:pStyle w:val="2"/>
        <w:spacing w:line="360" w:lineRule="auto"/>
        <w:ind w:left="0" w:leftChars="0" w:firstLine="0" w:firstLineChars="0"/>
        <w:rPr>
          <w:rFonts w:hint="eastAsia" w:ascii="Times New Roman" w:hAnsi="Times New Roman"/>
          <w:b/>
          <w:bCs/>
          <w:color w:val="auto"/>
          <w:sz w:val="24"/>
          <w:szCs w:val="24"/>
          <w:highlight w:val="none"/>
        </w:rPr>
      </w:pPr>
    </w:p>
    <w:p w14:paraId="1CA12C2D">
      <w:pPr>
        <w:spacing w:line="400" w:lineRule="exact"/>
        <w:ind w:firstLine="482" w:firstLineChars="200"/>
        <w:rPr>
          <w:rFonts w:hint="eastAsia" w:ascii="Times New Roman" w:hAnsi="Times New Roman" w:eastAsia="宋体" w:cs="Times New Roman"/>
          <w:b/>
          <w:bCs/>
          <w:color w:val="auto"/>
          <w:kern w:val="2"/>
          <w:sz w:val="24"/>
          <w:szCs w:val="24"/>
          <w:highlight w:val="none"/>
          <w:u w:val="none" w:color="auto"/>
          <w:lang w:val="en-US" w:eastAsia="zh-CN" w:bidi="ar-SA"/>
        </w:rPr>
      </w:pPr>
      <w:r>
        <w:rPr>
          <w:rFonts w:hint="eastAsia" w:ascii="Times New Roman" w:hAnsi="Times New Roman" w:eastAsia="宋体" w:cs="Times New Roman"/>
          <w:b/>
          <w:bCs/>
          <w:color w:val="auto"/>
          <w:kern w:val="2"/>
          <w:sz w:val="24"/>
          <w:szCs w:val="24"/>
          <w:highlight w:val="none"/>
          <w:u w:val="none" w:color="auto"/>
          <w:lang w:val="en-US" w:eastAsia="zh-CN" w:bidi="ar-SA"/>
        </w:rPr>
        <w:t>注：投标报价为各分项报价金额之和，投标报价与分项报价的合价不一致的，以投标报价为准；如分项报价中存在缺漏项，则视为缺漏项价格已包含在其他分项报价之中。</w:t>
      </w:r>
    </w:p>
    <w:p w14:paraId="2417E113">
      <w:pPr>
        <w:pStyle w:val="2"/>
        <w:spacing w:line="360" w:lineRule="auto"/>
        <w:ind w:left="0" w:leftChars="0" w:firstLine="482" w:firstLineChars="200"/>
        <w:rPr>
          <w:rFonts w:hint="eastAsia" w:ascii="宋体" w:hAnsi="宋体" w:eastAsia="宋体" w:cs="宋体"/>
          <w:b/>
          <w:bCs/>
          <w:sz w:val="24"/>
          <w:szCs w:val="24"/>
          <w:highlight w:val="none"/>
          <w:lang w:val="en-US" w:eastAsia="zh-CN"/>
        </w:rPr>
      </w:pPr>
      <w:r>
        <w:rPr>
          <w:rFonts w:hint="eastAsia" w:ascii="Times New Roman" w:hAnsi="Times New Roman"/>
          <w:b/>
          <w:bCs/>
          <w:color w:val="auto"/>
          <w:sz w:val="24"/>
          <w:szCs w:val="24"/>
          <w:highlight w:val="none"/>
        </w:rPr>
        <w:t>分项报价表说明：</w:t>
      </w:r>
      <w:r>
        <w:rPr>
          <w:rFonts w:hint="eastAsia" w:ascii="Times New Roman" w:hAnsi="Times New Roman"/>
          <w:b/>
          <w:bCs/>
          <w:color w:val="auto"/>
          <w:sz w:val="24"/>
          <w:szCs w:val="24"/>
          <w:highlight w:val="none"/>
          <w:lang w:val="en-US" w:eastAsia="zh-CN"/>
        </w:rPr>
        <w:t>以</w:t>
      </w:r>
      <w:r>
        <w:rPr>
          <w:rFonts w:hint="eastAsia" w:ascii="宋体" w:hAnsi="宋体" w:eastAsia="宋体" w:cs="宋体"/>
          <w:b/>
          <w:bCs/>
          <w:sz w:val="24"/>
          <w:szCs w:val="24"/>
          <w:highlight w:val="none"/>
        </w:rPr>
        <w:t>“元”为单位，保留小数点两位。</w:t>
      </w:r>
      <w:r>
        <w:rPr>
          <w:rFonts w:hint="eastAsia" w:ascii="Times New Roman" w:hAnsi="Times New Roman"/>
          <w:b/>
          <w:bCs/>
          <w:color w:val="auto"/>
          <w:sz w:val="24"/>
          <w:szCs w:val="24"/>
          <w:highlight w:val="none"/>
        </w:rPr>
        <w:t>采购需求中每一</w:t>
      </w:r>
      <w:r>
        <w:rPr>
          <w:rFonts w:hint="eastAsia" w:ascii="Times New Roman" w:hAnsi="Times New Roman"/>
          <w:b/>
          <w:bCs/>
          <w:color w:val="auto"/>
          <w:sz w:val="24"/>
          <w:szCs w:val="24"/>
          <w:highlight w:val="none"/>
          <w:lang w:val="en-US" w:eastAsia="zh-CN"/>
        </w:rPr>
        <w:t>产品</w:t>
      </w:r>
      <w:r>
        <w:rPr>
          <w:rFonts w:hint="eastAsia" w:ascii="Times New Roman" w:hAnsi="Times New Roman"/>
          <w:b/>
          <w:bCs/>
          <w:color w:val="auto"/>
          <w:sz w:val="24"/>
          <w:szCs w:val="24"/>
          <w:highlight w:val="none"/>
        </w:rPr>
        <w:t>都填</w:t>
      </w:r>
      <w:r>
        <w:rPr>
          <w:rFonts w:hint="eastAsia" w:ascii="Times New Roman" w:hAnsi="Times New Roman"/>
          <w:b/>
          <w:bCs/>
          <w:color w:val="auto"/>
          <w:sz w:val="24"/>
          <w:szCs w:val="24"/>
          <w:highlight w:val="none"/>
          <w:lang w:val="en-US" w:eastAsia="zh-CN"/>
        </w:rPr>
        <w:t>入上</w:t>
      </w:r>
      <w:r>
        <w:rPr>
          <w:rFonts w:hint="eastAsia" w:ascii="Times New Roman" w:hAnsi="Times New Roman"/>
          <w:b/>
          <w:bCs/>
          <w:color w:val="auto"/>
          <w:sz w:val="24"/>
          <w:szCs w:val="24"/>
          <w:highlight w:val="none"/>
        </w:rPr>
        <w:t>表，缺项漏项者为无效文件。</w:t>
      </w:r>
    </w:p>
    <w:p w14:paraId="168F9C4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14:paraId="4187F0B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14:paraId="2EC9BFB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14:paraId="23FE814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3C7F584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7EF8A697">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52534227">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lang w:val="en-US" w:eastAsia="zh-CN"/>
        </w:rPr>
      </w:pPr>
    </w:p>
    <w:p w14:paraId="38E5DDD0">
      <w:pPr>
        <w:pStyle w:val="11"/>
        <w:rPr>
          <w:rStyle w:val="31"/>
          <w:rFonts w:hint="eastAsia" w:ascii="宋体" w:hAnsi="宋体" w:eastAsia="宋体" w:cs="宋体"/>
          <w:b/>
          <w:color w:val="000000"/>
          <w:kern w:val="0"/>
          <w:sz w:val="32"/>
          <w:szCs w:val="32"/>
          <w:highlight w:val="none"/>
          <w:lang w:val="en-US" w:eastAsia="zh-CN"/>
        </w:rPr>
      </w:pPr>
    </w:p>
    <w:p w14:paraId="63222262">
      <w:pPr>
        <w:pStyle w:val="11"/>
        <w:rPr>
          <w:rStyle w:val="31"/>
          <w:rFonts w:hint="eastAsia" w:ascii="宋体" w:hAnsi="宋体" w:eastAsia="宋体" w:cs="宋体"/>
          <w:b/>
          <w:color w:val="000000"/>
          <w:kern w:val="0"/>
          <w:sz w:val="32"/>
          <w:szCs w:val="32"/>
          <w:highlight w:val="none"/>
          <w:lang w:val="en-US" w:eastAsia="zh-CN"/>
        </w:rPr>
      </w:pPr>
    </w:p>
    <w:p w14:paraId="68F19DAB">
      <w:pPr>
        <w:pStyle w:val="11"/>
        <w:rPr>
          <w:rStyle w:val="31"/>
          <w:rFonts w:hint="eastAsia" w:ascii="宋体" w:hAnsi="宋体" w:eastAsia="宋体" w:cs="宋体"/>
          <w:b/>
          <w:color w:val="000000"/>
          <w:kern w:val="0"/>
          <w:sz w:val="32"/>
          <w:szCs w:val="32"/>
          <w:highlight w:val="none"/>
          <w:lang w:val="en-US" w:eastAsia="zh-CN"/>
        </w:rPr>
      </w:pPr>
    </w:p>
    <w:p w14:paraId="5F64E87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lang w:val="en-US" w:eastAsia="zh-CN"/>
        </w:rPr>
        <w:t xml:space="preserve">第三部分  </w:t>
      </w:r>
      <w:r>
        <w:rPr>
          <w:rStyle w:val="31"/>
          <w:rFonts w:hint="eastAsia" w:ascii="宋体" w:hAnsi="宋体" w:eastAsia="宋体" w:cs="宋体"/>
          <w:b/>
          <w:color w:val="000000"/>
          <w:kern w:val="0"/>
          <w:sz w:val="32"/>
          <w:szCs w:val="32"/>
          <w:highlight w:val="none"/>
          <w:lang w:eastAsia="zh-CN"/>
        </w:rPr>
        <w:t>商务和技术偏差</w:t>
      </w:r>
      <w:r>
        <w:rPr>
          <w:rStyle w:val="31"/>
          <w:rFonts w:hint="eastAsia" w:ascii="宋体" w:hAnsi="宋体" w:eastAsia="宋体" w:cs="宋体"/>
          <w:b/>
          <w:color w:val="000000"/>
          <w:kern w:val="0"/>
          <w:sz w:val="32"/>
          <w:szCs w:val="32"/>
          <w:highlight w:val="none"/>
        </w:rPr>
        <w:t>表</w:t>
      </w:r>
    </w:p>
    <w:p w14:paraId="079A488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陕西中医药大学第二附属医院2024-2025年度零星家具供货商遴选项目</w:t>
      </w:r>
    </w:p>
    <w:p w14:paraId="28411C6C">
      <w:pPr>
        <w:keepNext w:val="0"/>
        <w:keepLines w:val="0"/>
        <w:pageBreakBefore w:val="0"/>
        <w:kinsoku/>
        <w:wordWrap/>
        <w:overflowPunct/>
        <w:topLinePunct w:val="0"/>
        <w:bidi w:val="0"/>
        <w:spacing w:line="360" w:lineRule="auto"/>
        <w:ind w:left="0" w:leftChars="0" w:right="0" w:firstLine="480" w:firstLineChars="200"/>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项目编号：</w:t>
      </w:r>
      <w:r>
        <w:rPr>
          <w:rFonts w:hint="eastAsia" w:ascii="宋体" w:hAnsi="宋体" w:eastAsia="宋体" w:cs="宋体"/>
          <w:bCs/>
          <w:sz w:val="24"/>
          <w:szCs w:val="24"/>
          <w:highlight w:val="none"/>
          <w:lang w:eastAsia="zh-CN"/>
        </w:rPr>
        <w:t>SZRFYZB20240</w:t>
      </w:r>
      <w:r>
        <w:rPr>
          <w:rFonts w:hint="eastAsia" w:ascii="宋体" w:hAnsi="宋体" w:cs="宋体"/>
          <w:bCs/>
          <w:sz w:val="24"/>
          <w:szCs w:val="24"/>
          <w:highlight w:val="none"/>
          <w:lang w:val="en-US" w:eastAsia="zh-CN"/>
        </w:rPr>
        <w:t>9</w:t>
      </w:r>
      <w:r>
        <w:rPr>
          <w:rFonts w:hint="eastAsia" w:ascii="宋体" w:hAnsi="宋体" w:eastAsia="宋体" w:cs="宋体"/>
          <w:bCs/>
          <w:sz w:val="24"/>
          <w:szCs w:val="24"/>
          <w:highlight w:val="none"/>
          <w:lang w:eastAsia="zh-CN"/>
        </w:rPr>
        <w:t>-</w:t>
      </w:r>
      <w:r>
        <w:rPr>
          <w:rFonts w:hint="eastAsia" w:ascii="宋体" w:hAnsi="宋体" w:cs="宋体"/>
          <w:bCs/>
          <w:sz w:val="24"/>
          <w:szCs w:val="24"/>
          <w:highlight w:val="none"/>
          <w:lang w:val="en-US" w:eastAsia="zh-CN"/>
        </w:rPr>
        <w:t>169</w:t>
      </w:r>
    </w:p>
    <w:tbl>
      <w:tblPr>
        <w:tblStyle w:val="20"/>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14:paraId="5FAD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14:paraId="50D7BCC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990" w:type="dxa"/>
            <w:noWrap w:val="0"/>
            <w:tcMar>
              <w:top w:w="57" w:type="dxa"/>
              <w:left w:w="28" w:type="dxa"/>
              <w:bottom w:w="57" w:type="dxa"/>
              <w:right w:w="28" w:type="dxa"/>
            </w:tcMar>
            <w:vAlign w:val="center"/>
          </w:tcPr>
          <w:p w14:paraId="4D87A16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名称</w:t>
            </w:r>
          </w:p>
        </w:tc>
        <w:tc>
          <w:tcPr>
            <w:tcW w:w="2369" w:type="dxa"/>
            <w:noWrap w:val="0"/>
            <w:tcMar>
              <w:top w:w="57" w:type="dxa"/>
              <w:left w:w="28" w:type="dxa"/>
              <w:bottom w:w="57" w:type="dxa"/>
              <w:right w:w="28" w:type="dxa"/>
            </w:tcMar>
            <w:vAlign w:val="center"/>
          </w:tcPr>
          <w:p w14:paraId="14CCF51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招标</w:t>
            </w:r>
          </w:p>
          <w:p w14:paraId="230D783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文件需求</w:t>
            </w:r>
          </w:p>
        </w:tc>
        <w:tc>
          <w:tcPr>
            <w:tcW w:w="1900" w:type="dxa"/>
            <w:noWrap w:val="0"/>
            <w:tcMar>
              <w:top w:w="57" w:type="dxa"/>
              <w:left w:w="28" w:type="dxa"/>
              <w:bottom w:w="57" w:type="dxa"/>
              <w:right w:w="28" w:type="dxa"/>
            </w:tcMar>
            <w:vAlign w:val="center"/>
          </w:tcPr>
          <w:p w14:paraId="4FC23C4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14:paraId="01EDEEE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实际情况</w:t>
            </w:r>
          </w:p>
        </w:tc>
        <w:tc>
          <w:tcPr>
            <w:tcW w:w="1667" w:type="dxa"/>
            <w:noWrap w:val="0"/>
            <w:tcMar>
              <w:top w:w="57" w:type="dxa"/>
              <w:left w:w="28" w:type="dxa"/>
              <w:bottom w:w="57" w:type="dxa"/>
              <w:right w:w="28" w:type="dxa"/>
            </w:tcMar>
            <w:vAlign w:val="center"/>
          </w:tcPr>
          <w:p w14:paraId="60C1091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64CF2E7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5684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14:paraId="613A54C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990" w:type="dxa"/>
            <w:noWrap w:val="0"/>
            <w:tcMar>
              <w:top w:w="57" w:type="dxa"/>
              <w:left w:w="28" w:type="dxa"/>
              <w:bottom w:w="57" w:type="dxa"/>
              <w:right w:w="28" w:type="dxa"/>
            </w:tcMar>
            <w:vAlign w:val="center"/>
          </w:tcPr>
          <w:p w14:paraId="11AC253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3032BCA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3004EF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AD67DE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13BA4D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0E8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64374E7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990" w:type="dxa"/>
            <w:noWrap w:val="0"/>
            <w:tcMar>
              <w:top w:w="57" w:type="dxa"/>
              <w:left w:w="28" w:type="dxa"/>
              <w:bottom w:w="57" w:type="dxa"/>
              <w:right w:w="28" w:type="dxa"/>
            </w:tcMar>
            <w:vAlign w:val="center"/>
          </w:tcPr>
          <w:p w14:paraId="287B55C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301371D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4564A6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FEF57E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546AF9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C7A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547B43D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990" w:type="dxa"/>
            <w:noWrap w:val="0"/>
            <w:tcMar>
              <w:top w:w="57" w:type="dxa"/>
              <w:left w:w="28" w:type="dxa"/>
              <w:bottom w:w="57" w:type="dxa"/>
              <w:right w:w="28" w:type="dxa"/>
            </w:tcMar>
            <w:vAlign w:val="center"/>
          </w:tcPr>
          <w:p w14:paraId="5D9BA40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7C95C41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28EFD4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346F97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10B931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5BF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356FD1F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990" w:type="dxa"/>
            <w:noWrap w:val="0"/>
            <w:tcMar>
              <w:top w:w="57" w:type="dxa"/>
              <w:left w:w="28" w:type="dxa"/>
              <w:bottom w:w="57" w:type="dxa"/>
              <w:right w:w="28" w:type="dxa"/>
            </w:tcMar>
            <w:vAlign w:val="center"/>
          </w:tcPr>
          <w:p w14:paraId="5C208D7F">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3AA71486">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C2DA0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57335B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C78599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832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13CD6FF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990" w:type="dxa"/>
            <w:noWrap w:val="0"/>
            <w:tcMar>
              <w:top w:w="57" w:type="dxa"/>
              <w:left w:w="28" w:type="dxa"/>
              <w:bottom w:w="57" w:type="dxa"/>
              <w:right w:w="28" w:type="dxa"/>
            </w:tcMar>
            <w:vAlign w:val="center"/>
          </w:tcPr>
          <w:p w14:paraId="6052866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7A6AB5A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59E050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CAEEE0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FE73E0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57A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665128C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990" w:type="dxa"/>
            <w:noWrap w:val="0"/>
            <w:tcMar>
              <w:top w:w="57" w:type="dxa"/>
              <w:left w:w="28" w:type="dxa"/>
              <w:bottom w:w="57" w:type="dxa"/>
              <w:right w:w="28" w:type="dxa"/>
            </w:tcMar>
            <w:vAlign w:val="center"/>
          </w:tcPr>
          <w:p w14:paraId="4284238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5036C7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91F03B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B053E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6DF61C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B78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18A085D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990" w:type="dxa"/>
            <w:noWrap w:val="0"/>
            <w:tcMar>
              <w:top w:w="57" w:type="dxa"/>
              <w:left w:w="28" w:type="dxa"/>
              <w:bottom w:w="57" w:type="dxa"/>
              <w:right w:w="28" w:type="dxa"/>
            </w:tcMar>
            <w:vAlign w:val="center"/>
          </w:tcPr>
          <w:p w14:paraId="607D0D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0454791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7C173B7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B49DE6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628C39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F241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7670E9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990" w:type="dxa"/>
            <w:noWrap w:val="0"/>
            <w:tcMar>
              <w:top w:w="57" w:type="dxa"/>
              <w:left w:w="28" w:type="dxa"/>
              <w:bottom w:w="57" w:type="dxa"/>
              <w:right w:w="28" w:type="dxa"/>
            </w:tcMar>
            <w:vAlign w:val="center"/>
          </w:tcPr>
          <w:p w14:paraId="629520F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07A2F3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05C9E7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5F529E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A4541D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F77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14:paraId="2EEA1CE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990" w:type="dxa"/>
            <w:noWrap w:val="0"/>
            <w:tcMar>
              <w:top w:w="57" w:type="dxa"/>
              <w:left w:w="28" w:type="dxa"/>
              <w:bottom w:w="57" w:type="dxa"/>
              <w:right w:w="28" w:type="dxa"/>
            </w:tcMar>
            <w:vAlign w:val="center"/>
          </w:tcPr>
          <w:p w14:paraId="770B0DC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7195F3E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78D545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6CDE2B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0DC614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0770076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5CFA238C">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注：如有漏报、瞒报</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所要求的技术指标等将视为没有实质性响应</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。关于响应情况的证明材料可在本章节所指的进行说明。</w:t>
      </w:r>
    </w:p>
    <w:p w14:paraId="5C043F42">
      <w:pPr>
        <w:pStyle w:val="11"/>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421E8AE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23" w:name="_Toc188808838"/>
      <w:bookmarkStart w:id="24" w:name="_Toc193126887"/>
      <w:bookmarkStart w:id="25" w:name="_Toc193187103"/>
      <w:bookmarkStart w:id="26" w:name="_Toc194663924"/>
      <w:r>
        <w:rPr>
          <w:rFonts w:hint="eastAsia" w:ascii="宋体" w:hAnsi="宋体" w:eastAsia="宋体" w:cs="宋体"/>
          <w:bCs/>
          <w:sz w:val="24"/>
          <w:szCs w:val="24"/>
          <w:highlight w:val="none"/>
          <w:lang w:eastAsia="zh-CN"/>
        </w:rPr>
        <w:t>投标人名称（盖章）：</w:t>
      </w:r>
    </w:p>
    <w:p w14:paraId="6709AAC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2B4CA8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23"/>
      <w:bookmarkEnd w:id="24"/>
      <w:bookmarkEnd w:id="25"/>
      <w:bookmarkEnd w:id="26"/>
      <w:bookmarkStart w:id="27" w:name="_Toc48995851"/>
      <w:bookmarkStart w:id="28" w:name="_Toc47262069"/>
      <w:bookmarkStart w:id="29" w:name="_Toc47418255"/>
      <w:bookmarkStart w:id="30" w:name="_Toc47418731"/>
      <w:bookmarkStart w:id="31" w:name="_Toc47261690"/>
      <w:bookmarkStart w:id="32" w:name="_Toc47418938"/>
      <w:bookmarkStart w:id="33" w:name="_Toc49019497"/>
      <w:bookmarkStart w:id="34" w:name="_Toc193126888"/>
      <w:bookmarkStart w:id="35" w:name="_Toc49019236"/>
      <w:bookmarkStart w:id="36" w:name="_Toc47261885"/>
      <w:bookmarkStart w:id="37" w:name="_Toc194663925"/>
      <w:bookmarkStart w:id="38" w:name="_Toc193187104"/>
      <w:bookmarkStart w:id="39" w:name="_Toc188808839"/>
      <w:bookmarkStart w:id="40" w:name="_Toc48791235"/>
    </w:p>
    <w:p w14:paraId="29D5A5E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p w14:paraId="3B0B4F39">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四</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法定代表人（单位负责人）身份证明</w:t>
      </w:r>
    </w:p>
    <w:p w14:paraId="3C6B0F93">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67DE77B3">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p>
    <w:p w14:paraId="6DDD6079">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bookmarkStart w:id="41" w:name="_Toc352691662"/>
      <w:bookmarkStart w:id="42" w:name="_Toc27897"/>
      <w:bookmarkStart w:id="43" w:name="_Toc369531698"/>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bookmarkEnd w:id="41"/>
      <w:bookmarkEnd w:id="42"/>
      <w:bookmarkEnd w:id="43"/>
      <w:r>
        <w:rPr>
          <w:rFonts w:hint="eastAsia" w:ascii="宋体" w:hAnsi="宋体" w:eastAsia="宋体" w:cs="宋体"/>
          <w:sz w:val="24"/>
          <w:szCs w:val="24"/>
          <w:highlight w:val="none"/>
        </w:rPr>
        <w:t>龄</w:t>
      </w:r>
      <w:bookmarkStart w:id="44" w:name="_Toc152042578"/>
      <w:bookmarkStart w:id="45" w:name="_Toc361508754"/>
      <w:bookmarkStart w:id="46" w:name="_Toc144974858"/>
      <w:bookmarkStart w:id="47" w:name="_Toc369531699"/>
      <w:bookmarkStart w:id="48" w:name="_Toc247527829"/>
      <w:bookmarkStart w:id="49" w:name="_Toc352691663"/>
      <w:bookmarkStart w:id="50" w:name="_Toc152045789"/>
      <w:bookmarkStart w:id="51" w:name="_Toc247514248"/>
      <w:bookmarkStart w:id="52" w:name="_Toc384308377"/>
      <w:bookmarkStart w:id="53" w:name="_Toc15573"/>
      <w:bookmarkStart w:id="54" w:name="_Toc300835211"/>
      <w:r>
        <w:rPr>
          <w:rFonts w:hint="eastAsia" w:ascii="宋体" w:hAnsi="宋体" w:eastAsia="宋体" w:cs="宋体"/>
          <w:sz w:val="24"/>
          <w:szCs w:val="24"/>
          <w:highlight w:val="none"/>
        </w:rPr>
        <w:t>：</w:t>
      </w:r>
      <w:bookmarkEnd w:id="44"/>
      <w:bookmarkEnd w:id="45"/>
      <w:bookmarkEnd w:id="46"/>
      <w:bookmarkEnd w:id="47"/>
      <w:bookmarkEnd w:id="48"/>
      <w:bookmarkEnd w:id="49"/>
      <w:bookmarkEnd w:id="50"/>
      <w:bookmarkEnd w:id="51"/>
      <w:bookmarkEnd w:id="52"/>
      <w:bookmarkEnd w:id="53"/>
      <w:bookmarkEnd w:id="54"/>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eastAsia="zh-CN"/>
        </w:rPr>
        <w:t>投标人</w:t>
      </w:r>
      <w:r>
        <w:rPr>
          <w:rFonts w:hint="eastAsia" w:ascii="宋体" w:hAnsi="宋体" w:eastAsia="宋体" w:cs="宋体"/>
          <w:sz w:val="24"/>
          <w:szCs w:val="24"/>
          <w:highlight w:val="none"/>
          <w:u w:val="single"/>
        </w:rPr>
        <w:t>名称）</w:t>
      </w:r>
      <w:r>
        <w:rPr>
          <w:rFonts w:hint="eastAsia" w:ascii="宋体" w:hAnsi="宋体" w:eastAsia="宋体" w:cs="宋体"/>
          <w:sz w:val="24"/>
          <w:szCs w:val="24"/>
          <w:highlight w:val="none"/>
        </w:rPr>
        <w:t>的法定代表人（单位负责人）。</w:t>
      </w:r>
    </w:p>
    <w:p w14:paraId="4AA3228D">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4A29FF8F">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7FB790F7">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2A76C4B0">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附：法定代表人（单位负责人）身份证复印件。</w:t>
      </w:r>
    </w:p>
    <w:p w14:paraId="5E5A6741">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3BAB7773">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6F1E3846">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54E9E55A">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1C37ED4A">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3222C812">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2EA3FBDC">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eastAsia="zh-CN"/>
        </w:rPr>
        <w:t>法定代表人或授权委托人（签字或盖章）：</w:t>
      </w:r>
    </w:p>
    <w:p w14:paraId="774B80DD">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14:paraId="430C3AA7">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1EFED24A">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47CA38B8">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21418A74">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298A8F37">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35EAD30D">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33323355">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431A61E4">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1A9FF4F1">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46399A36">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3EEAF771">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7AE43DE4">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3545293D">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五</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法定代表人授权</w:t>
      </w:r>
      <w:r>
        <w:rPr>
          <w:rStyle w:val="31"/>
          <w:rFonts w:hint="eastAsia" w:ascii="宋体" w:hAnsi="宋体" w:cs="宋体"/>
          <w:b/>
          <w:color w:val="000000"/>
          <w:kern w:val="0"/>
          <w:sz w:val="32"/>
          <w:szCs w:val="32"/>
          <w:highlight w:val="none"/>
          <w:lang w:val="en-US" w:eastAsia="zh-CN"/>
        </w:rPr>
        <w:t>委托</w:t>
      </w:r>
      <w:r>
        <w:rPr>
          <w:rStyle w:val="31"/>
          <w:rFonts w:hint="eastAsia" w:ascii="宋体" w:hAnsi="宋体" w:eastAsia="宋体" w:cs="宋体"/>
          <w:b/>
          <w:color w:val="000000"/>
          <w:kern w:val="0"/>
          <w:sz w:val="32"/>
          <w:szCs w:val="32"/>
          <w:highlight w:val="none"/>
        </w:rPr>
        <w:t>书</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6D553A90">
      <w:pPr>
        <w:pageBreakBefore w:val="0"/>
        <w:shd w:val="clear" w:color="auto" w:fill="FFFFFF"/>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bookmarkStart w:id="55" w:name="_Toc47262070"/>
      <w:bookmarkStart w:id="56" w:name="_Toc47418939"/>
      <w:bookmarkStart w:id="57" w:name="_Toc47418732"/>
      <w:bookmarkStart w:id="58" w:name="_Toc47261691"/>
      <w:bookmarkStart w:id="59" w:name="_Toc47261886"/>
      <w:bookmarkStart w:id="60" w:name="_Toc48791236"/>
      <w:bookmarkStart w:id="61" w:name="_Toc47418256"/>
      <w:bookmarkStart w:id="62" w:name="_Toc49019237"/>
      <w:bookmarkStart w:id="63" w:name="_Toc49019498"/>
      <w:bookmarkStart w:id="64" w:name="_Toc48995852"/>
      <w:r>
        <w:rPr>
          <w:rStyle w:val="31"/>
          <w:rFonts w:hint="eastAsia" w:ascii="宋体" w:hAnsi="宋体" w:eastAsia="宋体" w:cs="宋体"/>
          <w:color w:val="000000"/>
          <w:kern w:val="0"/>
          <w:sz w:val="24"/>
          <w:szCs w:val="24"/>
          <w:highlight w:val="none"/>
        </w:rPr>
        <w:t>陕西中医药大学第二附属医院：</w:t>
      </w:r>
    </w:p>
    <w:p w14:paraId="3191D6C7">
      <w:pPr>
        <w:pageBreakBefore w:val="0"/>
        <w:shd w:val="clear" w:color="auto" w:fill="FFFFFF"/>
        <w:kinsoku/>
        <w:wordWrap/>
        <w:overflowPunct/>
        <w:topLinePunct w:val="0"/>
        <w:bidi w:val="0"/>
        <w:spacing w:line="360" w:lineRule="auto"/>
        <w:ind w:left="0" w:leftChars="0" w:firstLine="64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注册于</w:t>
      </w:r>
      <w:r>
        <w:rPr>
          <w:rStyle w:val="31"/>
          <w:rFonts w:hint="eastAsia" w:ascii="宋体" w:hAnsi="宋体" w:eastAsia="宋体" w:cs="宋体"/>
          <w:color w:val="000000"/>
          <w:kern w:val="0"/>
          <w:sz w:val="24"/>
          <w:szCs w:val="24"/>
          <w:highlight w:val="none"/>
          <w:u w:val="single"/>
        </w:rPr>
        <w:t>（工商行政管理局名称）</w:t>
      </w:r>
      <w:r>
        <w:rPr>
          <w:rStyle w:val="31"/>
          <w:rFonts w:hint="eastAsia" w:ascii="宋体" w:hAnsi="宋体" w:eastAsia="宋体" w:cs="宋体"/>
          <w:color w:val="000000"/>
          <w:kern w:val="0"/>
          <w:sz w:val="24"/>
          <w:szCs w:val="24"/>
          <w:highlight w:val="none"/>
        </w:rPr>
        <w:t>之</w:t>
      </w:r>
      <w:r>
        <w:rPr>
          <w:rStyle w:val="31"/>
          <w:rFonts w:hint="eastAsia" w:ascii="宋体" w:hAnsi="宋体" w:eastAsia="宋体" w:cs="宋体"/>
          <w:color w:val="000000"/>
          <w:kern w:val="0"/>
          <w:sz w:val="24"/>
          <w:szCs w:val="24"/>
          <w:highlight w:val="none"/>
          <w:u w:val="single"/>
        </w:rPr>
        <w:t>（</w:t>
      </w:r>
      <w:r>
        <w:rPr>
          <w:rStyle w:val="31"/>
          <w:rFonts w:hint="eastAsia" w:ascii="宋体" w:hAnsi="宋体" w:eastAsia="宋体" w:cs="宋体"/>
          <w:color w:val="000000"/>
          <w:kern w:val="0"/>
          <w:sz w:val="24"/>
          <w:szCs w:val="24"/>
          <w:highlight w:val="none"/>
          <w:u w:val="single"/>
          <w:lang w:eastAsia="zh-CN"/>
        </w:rPr>
        <w:t>投标投标人</w:t>
      </w:r>
      <w:r>
        <w:rPr>
          <w:rStyle w:val="31"/>
          <w:rFonts w:hint="eastAsia" w:ascii="宋体" w:hAnsi="宋体" w:eastAsia="宋体" w:cs="宋体"/>
          <w:color w:val="000000"/>
          <w:kern w:val="0"/>
          <w:sz w:val="24"/>
          <w:szCs w:val="24"/>
          <w:highlight w:val="none"/>
          <w:u w:val="single"/>
        </w:rPr>
        <w:t>全称）</w:t>
      </w:r>
      <w:r>
        <w:rPr>
          <w:rStyle w:val="31"/>
          <w:rFonts w:hint="eastAsia" w:ascii="宋体" w:hAnsi="宋体" w:eastAsia="宋体" w:cs="宋体"/>
          <w:color w:val="000000"/>
          <w:kern w:val="0"/>
          <w:sz w:val="24"/>
          <w:szCs w:val="24"/>
          <w:highlight w:val="none"/>
        </w:rPr>
        <w:t>法人代表</w:t>
      </w:r>
      <w:r>
        <w:rPr>
          <w:rStyle w:val="31"/>
          <w:rFonts w:hint="eastAsia" w:ascii="宋体" w:hAnsi="宋体" w:eastAsia="宋体" w:cs="宋体"/>
          <w:color w:val="000000"/>
          <w:kern w:val="0"/>
          <w:sz w:val="24"/>
          <w:szCs w:val="24"/>
          <w:highlight w:val="none"/>
          <w:u w:val="single"/>
        </w:rPr>
        <w:t>（姓名、职务）</w:t>
      </w:r>
      <w:r>
        <w:rPr>
          <w:rStyle w:val="31"/>
          <w:rFonts w:hint="eastAsia" w:ascii="宋体" w:hAnsi="宋体" w:eastAsia="宋体" w:cs="宋体"/>
          <w:color w:val="000000"/>
          <w:kern w:val="0"/>
          <w:sz w:val="24"/>
          <w:szCs w:val="24"/>
          <w:highlight w:val="none"/>
        </w:rPr>
        <w:t>授权</w:t>
      </w:r>
      <w:r>
        <w:rPr>
          <w:rStyle w:val="31"/>
          <w:rFonts w:hint="eastAsia" w:ascii="宋体" w:hAnsi="宋体" w:eastAsia="宋体" w:cs="宋体"/>
          <w:color w:val="000000"/>
          <w:kern w:val="0"/>
          <w:sz w:val="24"/>
          <w:szCs w:val="24"/>
          <w:highlight w:val="none"/>
          <w:u w:val="single"/>
        </w:rPr>
        <w:t>（被授权人姓名、职务）</w:t>
      </w:r>
      <w:r>
        <w:rPr>
          <w:rStyle w:val="31"/>
          <w:rFonts w:hint="eastAsia" w:ascii="宋体" w:hAnsi="宋体" w:eastAsia="宋体" w:cs="宋体"/>
          <w:color w:val="000000"/>
          <w:kern w:val="0"/>
          <w:sz w:val="24"/>
          <w:szCs w:val="24"/>
          <w:highlight w:val="none"/>
        </w:rPr>
        <w:t>为本</w:t>
      </w:r>
      <w:r>
        <w:rPr>
          <w:rStyle w:val="31"/>
          <w:rFonts w:hint="eastAsia" w:ascii="宋体" w:hAnsi="宋体" w:eastAsia="宋体" w:cs="宋体"/>
          <w:color w:val="000000"/>
          <w:kern w:val="0"/>
          <w:sz w:val="24"/>
          <w:szCs w:val="24"/>
          <w:highlight w:val="none"/>
          <w:lang w:val="en-US" w:eastAsia="zh-CN"/>
        </w:rPr>
        <w:t>单位</w:t>
      </w:r>
      <w:r>
        <w:rPr>
          <w:rStyle w:val="31"/>
          <w:rFonts w:hint="eastAsia" w:ascii="宋体" w:hAnsi="宋体" w:eastAsia="宋体" w:cs="宋体"/>
          <w:color w:val="000000"/>
          <w:kern w:val="0"/>
          <w:sz w:val="24"/>
          <w:szCs w:val="24"/>
          <w:highlight w:val="none"/>
        </w:rPr>
        <w:t>的合法代理人，就本项目的招标及合同的执行和完成，以本公司的名义处理一切与之有关的事宜。</w:t>
      </w:r>
    </w:p>
    <w:p w14:paraId="0B90005E">
      <w:pPr>
        <w:pageBreakBefore w:val="0"/>
        <w:shd w:val="clear" w:color="auto" w:fill="FFFFFF"/>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附：</w:t>
      </w:r>
    </w:p>
    <w:p w14:paraId="355CC618">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color w:val="000000"/>
          <w:kern w:val="0"/>
          <w:sz w:val="24"/>
          <w:szCs w:val="24"/>
          <w:highlight w:val="none"/>
        </w:rPr>
        <w:t>姓名：        </w:t>
      </w:r>
    </w:p>
    <w:p w14:paraId="38C12A7F">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xml:space="preserve">职务：      </w:t>
      </w:r>
    </w:p>
    <w:p w14:paraId="4632A0AB">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通讯地址： </w:t>
      </w:r>
    </w:p>
    <w:p w14:paraId="49402746">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电  话： </w:t>
      </w:r>
    </w:p>
    <w:p w14:paraId="54BA24C8">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14:paraId="477BF691">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法定代表人/</w:t>
      </w: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color w:val="000000"/>
          <w:kern w:val="0"/>
          <w:sz w:val="24"/>
          <w:szCs w:val="24"/>
          <w:highlight w:val="none"/>
        </w:rPr>
        <w:t>身份证复印件</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4193"/>
      </w:tblGrid>
      <w:tr w14:paraId="09C8C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4" w:hRule="atLeast"/>
          <w:jc w:val="center"/>
        </w:trPr>
        <w:tc>
          <w:tcPr>
            <w:tcW w:w="4193" w:type="dxa"/>
            <w:shd w:val="clear" w:color="auto" w:fill="E0E0E0"/>
            <w:noWrap w:val="0"/>
            <w:vAlign w:val="center"/>
          </w:tcPr>
          <w:p w14:paraId="11CA49D5">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rPr>
              <w:t>法定代表人身份证复印件（正面）</w:t>
            </w:r>
          </w:p>
        </w:tc>
        <w:tc>
          <w:tcPr>
            <w:tcW w:w="4193" w:type="dxa"/>
            <w:shd w:val="clear" w:color="auto" w:fill="E0E0E0"/>
            <w:noWrap w:val="0"/>
            <w:vAlign w:val="center"/>
          </w:tcPr>
          <w:p w14:paraId="75C293B9">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sz w:val="24"/>
                <w:szCs w:val="24"/>
                <w:highlight w:val="none"/>
                <w:shd w:val="pct10" w:color="auto" w:fill="FFFFFF"/>
              </w:rPr>
              <w:t>身份证复印件（正面）</w:t>
            </w:r>
          </w:p>
        </w:tc>
      </w:tr>
      <w:tr w14:paraId="154B8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0" w:hRule="atLeast"/>
          <w:jc w:val="center"/>
        </w:trPr>
        <w:tc>
          <w:tcPr>
            <w:tcW w:w="4193" w:type="dxa"/>
            <w:shd w:val="clear" w:color="auto" w:fill="E0E0E0"/>
            <w:noWrap w:val="0"/>
            <w:vAlign w:val="center"/>
          </w:tcPr>
          <w:p w14:paraId="037F48D9">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rPr>
              <w:t>法定代表人身份证复印件（背面）</w:t>
            </w:r>
          </w:p>
        </w:tc>
        <w:tc>
          <w:tcPr>
            <w:tcW w:w="4193" w:type="dxa"/>
            <w:shd w:val="clear" w:color="auto" w:fill="E0E0E0"/>
            <w:noWrap w:val="0"/>
            <w:vAlign w:val="center"/>
          </w:tcPr>
          <w:p w14:paraId="58F39CBE">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sz w:val="24"/>
                <w:szCs w:val="24"/>
                <w:highlight w:val="none"/>
                <w:shd w:val="pct10" w:color="auto" w:fill="FFFFFF"/>
              </w:rPr>
              <w:t>身份证复印件（背面）</w:t>
            </w:r>
          </w:p>
        </w:tc>
      </w:tr>
    </w:tbl>
    <w:p w14:paraId="4949EC8E">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单位名称（公章）：     法人代表（签字或盖章）：</w:t>
      </w:r>
    </w:p>
    <w:p w14:paraId="648E2326">
      <w:pPr>
        <w:pageBreakBefore w:val="0"/>
        <w:shd w:val="clear" w:color="auto" w:fill="FFFFFF"/>
        <w:kinsoku/>
        <w:wordWrap/>
        <w:overflowPunct/>
        <w:topLinePunct w:val="0"/>
        <w:bidi w:val="0"/>
        <w:spacing w:line="360" w:lineRule="auto"/>
        <w:ind w:left="0" w:leftChars="0" w:firstLine="63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授权有效期为自本授权签字之日起，至开标后90日历日。</w:t>
      </w:r>
    </w:p>
    <w:p w14:paraId="19A1101B">
      <w:pPr>
        <w:pageBreakBefore w:val="0"/>
        <w:shd w:val="clear" w:color="auto" w:fill="FFFFFF"/>
        <w:kinsoku/>
        <w:wordWrap/>
        <w:overflowPunct/>
        <w:topLinePunct w:val="0"/>
        <w:bidi w:val="0"/>
        <w:spacing w:line="360" w:lineRule="auto"/>
        <w:ind w:left="0" w:leftChars="0"/>
        <w:jc w:val="right"/>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bookmarkEnd w:id="19"/>
    <w:bookmarkEnd w:id="20"/>
    <w:bookmarkEnd w:id="21"/>
    <w:bookmarkEnd w:id="22"/>
    <w:bookmarkEnd w:id="55"/>
    <w:bookmarkEnd w:id="56"/>
    <w:bookmarkEnd w:id="57"/>
    <w:bookmarkEnd w:id="58"/>
    <w:bookmarkEnd w:id="59"/>
    <w:bookmarkEnd w:id="60"/>
    <w:bookmarkEnd w:id="61"/>
    <w:bookmarkEnd w:id="62"/>
    <w:bookmarkEnd w:id="63"/>
    <w:bookmarkEnd w:id="64"/>
    <w:p w14:paraId="664A29F2">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2A470AF5">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4871289B">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5E6AAE81">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316B7034">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六</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资格证明文件</w:t>
      </w:r>
    </w:p>
    <w:p w14:paraId="294B1029">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1、应附与本项目公告及</w:t>
      </w:r>
      <w:r>
        <w:rPr>
          <w:rFonts w:hint="eastAsia" w:ascii="宋体" w:hAnsi="宋体" w:eastAsia="宋体" w:cs="宋体"/>
          <w:bCs/>
          <w:sz w:val="24"/>
          <w:szCs w:val="24"/>
          <w:highlight w:val="none"/>
          <w:lang w:eastAsia="zh-CN"/>
        </w:rPr>
        <w:t>招标</w:t>
      </w:r>
      <w:r>
        <w:rPr>
          <w:rFonts w:hint="eastAsia" w:ascii="宋体" w:hAnsi="宋体" w:eastAsia="宋体" w:cs="宋体"/>
          <w:bCs/>
          <w:sz w:val="24"/>
          <w:szCs w:val="24"/>
          <w:highlight w:val="none"/>
        </w:rPr>
        <w:t>文件中要求的的资格及其他证明全部文件复印件或打印件并加盖公章；</w:t>
      </w:r>
    </w:p>
    <w:p w14:paraId="279CC112">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2、缴纳投标保证金的银行回单。</w:t>
      </w:r>
    </w:p>
    <w:p w14:paraId="670CFEF5">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14:paraId="30BA3691">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bookmarkStart w:id="65" w:name="_Toc26141"/>
      <w:bookmarkStart w:id="66" w:name="_Toc476761669"/>
    </w:p>
    <w:p w14:paraId="54D8CF7A">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700899D2">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7540F8E1">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3FEC7FC4">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19F5605E">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60AB3DA1">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47F257D8">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7AE309BA">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1153C53F">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46519F3A">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007C5799">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682C2F99">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7CF3A278">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5AA7CC18">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4D0B1ACB">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2354AE18">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35240527">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0A795A79">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6B35A501">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7D349808">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159FFA64">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7A4DCB86">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3724498E">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bookmarkEnd w:id="65"/>
    <w:bookmarkEnd w:id="66"/>
    <w:p w14:paraId="361DFDE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七</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技术响应及其他相关情况</w:t>
      </w:r>
    </w:p>
    <w:p w14:paraId="77B37FE9">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投标投标人</w:t>
      </w:r>
      <w:r>
        <w:rPr>
          <w:rFonts w:hint="eastAsia" w:ascii="宋体" w:hAnsi="宋体" w:eastAsia="宋体" w:cs="宋体"/>
          <w:bCs/>
          <w:sz w:val="24"/>
          <w:szCs w:val="24"/>
          <w:highlight w:val="none"/>
        </w:rPr>
        <w:t>应按照</w:t>
      </w:r>
      <w:r>
        <w:rPr>
          <w:rFonts w:hint="eastAsia" w:ascii="宋体" w:hAnsi="宋体" w:eastAsia="宋体" w:cs="宋体"/>
          <w:bCs/>
          <w:sz w:val="24"/>
          <w:szCs w:val="24"/>
          <w:highlight w:val="none"/>
          <w:lang w:eastAsia="zh-CN"/>
        </w:rPr>
        <w:t>招标文件</w:t>
      </w:r>
      <w:r>
        <w:rPr>
          <w:rFonts w:hint="eastAsia" w:ascii="宋体" w:hAnsi="宋体" w:eastAsia="宋体" w:cs="宋体"/>
          <w:bCs/>
          <w:sz w:val="24"/>
          <w:szCs w:val="24"/>
          <w:highlight w:val="none"/>
        </w:rPr>
        <w:t>要求，根据采购内容及技术要求内容作出全面响应。编制和提交的内容应包括但不限于以下各项。对必须满足的内容，必须完全满足。对响应有差异的，则说明差异的内容。</w:t>
      </w:r>
    </w:p>
    <w:p w14:paraId="7264A1AB">
      <w:pPr>
        <w:pStyle w:val="6"/>
        <w:pageBreakBefore w:val="0"/>
        <w:numPr>
          <w:ilvl w:val="0"/>
          <w:numId w:val="2"/>
        </w:numPr>
        <w:kinsoku/>
        <w:wordWrap/>
        <w:overflowPunct/>
        <w:topLinePunct w:val="0"/>
        <w:bidi w:val="0"/>
        <w:spacing w:line="360" w:lineRule="auto"/>
        <w:ind w:left="0" w:leftChars="0"/>
        <w:textAlignment w:val="auto"/>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产品方案</w:t>
      </w:r>
      <w:r>
        <w:rPr>
          <w:rFonts w:hint="eastAsia" w:ascii="宋体" w:hAnsi="宋体" w:eastAsia="宋体" w:cs="宋体"/>
          <w:bCs/>
          <w:sz w:val="24"/>
          <w:szCs w:val="24"/>
          <w:highlight w:val="none"/>
          <w:lang w:val="en-US" w:eastAsia="zh-CN"/>
        </w:rPr>
        <w:t>；</w:t>
      </w:r>
    </w:p>
    <w:p w14:paraId="69A0238C">
      <w:pPr>
        <w:pStyle w:val="6"/>
        <w:pageBreakBefore w:val="0"/>
        <w:numPr>
          <w:ilvl w:val="0"/>
          <w:numId w:val="2"/>
        </w:numPr>
        <w:kinsoku/>
        <w:wordWrap/>
        <w:overflowPunct/>
        <w:topLinePunct w:val="0"/>
        <w:bidi w:val="0"/>
        <w:spacing w:line="360" w:lineRule="auto"/>
        <w:ind w:left="0" w:leftChars="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质量</w:t>
      </w:r>
      <w:r>
        <w:rPr>
          <w:rFonts w:hint="eastAsia" w:ascii="宋体" w:hAnsi="宋体" w:cs="宋体"/>
          <w:bCs/>
          <w:sz w:val="24"/>
          <w:szCs w:val="24"/>
          <w:highlight w:val="none"/>
          <w:lang w:val="en-US" w:eastAsia="zh-CN"/>
        </w:rPr>
        <w:t>保证</w:t>
      </w:r>
      <w:r>
        <w:rPr>
          <w:rFonts w:hint="eastAsia" w:ascii="宋体" w:hAnsi="宋体" w:eastAsia="宋体" w:cs="宋体"/>
          <w:bCs/>
          <w:sz w:val="24"/>
          <w:szCs w:val="24"/>
          <w:highlight w:val="none"/>
          <w:lang w:val="en-US" w:eastAsia="zh-CN"/>
        </w:rPr>
        <w:t>；</w:t>
      </w:r>
    </w:p>
    <w:p w14:paraId="24E69EB1">
      <w:pPr>
        <w:pStyle w:val="6"/>
        <w:pageBreakBefore w:val="0"/>
        <w:numPr>
          <w:ilvl w:val="0"/>
          <w:numId w:val="2"/>
        </w:numPr>
        <w:kinsoku/>
        <w:wordWrap/>
        <w:overflowPunct/>
        <w:topLinePunct w:val="0"/>
        <w:bidi w:val="0"/>
        <w:spacing w:line="360" w:lineRule="auto"/>
        <w:ind w:left="0" w:leftChars="0"/>
        <w:textAlignment w:val="auto"/>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售后服务及质保期</w:t>
      </w:r>
      <w:r>
        <w:rPr>
          <w:rFonts w:hint="eastAsia" w:ascii="宋体" w:hAnsi="宋体" w:eastAsia="宋体" w:cs="宋体"/>
          <w:bCs/>
          <w:sz w:val="24"/>
          <w:szCs w:val="24"/>
          <w:highlight w:val="none"/>
          <w:lang w:val="en-US" w:eastAsia="zh-CN"/>
        </w:rPr>
        <w:t>；</w:t>
      </w:r>
    </w:p>
    <w:p w14:paraId="3E48B1C4">
      <w:pPr>
        <w:pStyle w:val="6"/>
        <w:pageBreakBefore w:val="0"/>
        <w:numPr>
          <w:ilvl w:val="0"/>
          <w:numId w:val="2"/>
        </w:numPr>
        <w:kinsoku/>
        <w:wordWrap/>
        <w:overflowPunct/>
        <w:topLinePunct w:val="0"/>
        <w:bidi w:val="0"/>
        <w:spacing w:line="360" w:lineRule="auto"/>
        <w:ind w:left="0" w:leftChars="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类似项目业绩。</w:t>
      </w:r>
    </w:p>
    <w:p w14:paraId="77DDC47C">
      <w:pPr>
        <w:pStyle w:val="6"/>
        <w:pageBreakBefore w:val="0"/>
        <w:numPr>
          <w:ilvl w:val="0"/>
          <w:numId w:val="2"/>
        </w:numPr>
        <w:kinsoku/>
        <w:wordWrap/>
        <w:overflowPunct/>
        <w:topLinePunct w:val="0"/>
        <w:bidi w:val="0"/>
        <w:spacing w:line="360" w:lineRule="auto"/>
        <w:ind w:left="0" w:leftChars="0"/>
        <w:textAlignment w:val="auto"/>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其他。</w:t>
      </w:r>
    </w:p>
    <w:p w14:paraId="400A53C1">
      <w:pPr>
        <w:pStyle w:val="7"/>
        <w:rPr>
          <w:rFonts w:hint="eastAsia"/>
          <w:highlight w:val="none"/>
          <w:lang w:val="en-US" w:eastAsia="zh-CN"/>
        </w:rPr>
      </w:pPr>
    </w:p>
    <w:p w14:paraId="44CF28BF">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4"/>
          <w:szCs w:val="24"/>
          <w:highlight w:val="none"/>
        </w:rPr>
      </w:pPr>
    </w:p>
    <w:p w14:paraId="07214417">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14:paraId="04B1390D">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14:paraId="15EA7E3F">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14:paraId="13FD61BC">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4"/>
          <w:szCs w:val="24"/>
          <w:highlight w:val="none"/>
        </w:rPr>
      </w:pPr>
    </w:p>
    <w:p w14:paraId="4141CFBE">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14:paraId="5F44EF32">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14:paraId="734618F8">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14:paraId="69A9CABA">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14:paraId="559E15E9">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14:paraId="24801F54">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14:paraId="5413575D">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14:paraId="7651032D">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14:paraId="721F9A69">
      <w:pPr>
        <w:pStyle w:val="2"/>
        <w:rPr>
          <w:rStyle w:val="31"/>
          <w:rFonts w:hint="eastAsia" w:ascii="宋体" w:hAnsi="宋体" w:eastAsia="宋体" w:cs="宋体"/>
          <w:b/>
          <w:color w:val="000000"/>
          <w:kern w:val="0"/>
          <w:sz w:val="32"/>
          <w:szCs w:val="32"/>
          <w:highlight w:val="none"/>
        </w:rPr>
      </w:pPr>
    </w:p>
    <w:p w14:paraId="60591E83">
      <w:pPr>
        <w:pStyle w:val="2"/>
        <w:rPr>
          <w:rStyle w:val="31"/>
          <w:rFonts w:hint="eastAsia" w:ascii="宋体" w:hAnsi="宋体" w:eastAsia="宋体" w:cs="宋体"/>
          <w:b/>
          <w:color w:val="000000"/>
          <w:kern w:val="0"/>
          <w:sz w:val="32"/>
          <w:szCs w:val="32"/>
          <w:highlight w:val="none"/>
        </w:rPr>
      </w:pPr>
    </w:p>
    <w:p w14:paraId="27C96000">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14:paraId="14018CA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八</w:t>
      </w:r>
      <w:r>
        <w:rPr>
          <w:rStyle w:val="31"/>
          <w:rFonts w:hint="eastAsia" w:ascii="宋体" w:hAnsi="宋体" w:eastAsia="宋体" w:cs="宋体"/>
          <w:b/>
          <w:color w:val="000000"/>
          <w:kern w:val="0"/>
          <w:sz w:val="32"/>
          <w:szCs w:val="32"/>
          <w:highlight w:val="none"/>
        </w:rPr>
        <w:t xml:space="preserve">部分  </w:t>
      </w:r>
      <w:r>
        <w:rPr>
          <w:rStyle w:val="31"/>
          <w:rFonts w:hint="eastAsia" w:ascii="宋体" w:hAnsi="宋体" w:cs="宋体"/>
          <w:b/>
          <w:color w:val="000000"/>
          <w:kern w:val="0"/>
          <w:sz w:val="32"/>
          <w:szCs w:val="32"/>
          <w:highlight w:val="none"/>
          <w:lang w:eastAsia="zh-CN"/>
        </w:rPr>
        <w:t>投标人</w:t>
      </w:r>
      <w:r>
        <w:rPr>
          <w:rStyle w:val="31"/>
          <w:rFonts w:hint="eastAsia" w:ascii="宋体" w:hAnsi="宋体" w:eastAsia="宋体" w:cs="宋体"/>
          <w:b/>
          <w:color w:val="000000"/>
          <w:kern w:val="0"/>
          <w:sz w:val="32"/>
          <w:szCs w:val="32"/>
          <w:highlight w:val="none"/>
        </w:rPr>
        <w:t>拒绝商业贿赂承诺书</w:t>
      </w:r>
    </w:p>
    <w:p w14:paraId="2EC18EF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5A22034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22CEB8A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58AC2CC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0A41034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6E8A6AF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14:paraId="19BB0A8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3AAA3A2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14:paraId="2538938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257C347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4DE9C34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7F5A1E6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2430DB2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264D0EF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29E4B60F">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3BED784B">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p w14:paraId="3FD83A5A">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14:paraId="17BB021E">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14:paraId="65FC460A">
      <w:pPr>
        <w:pStyle w:val="2"/>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14:paraId="03E796CD">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14:paraId="7514D4F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281E13F3">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7FF162E2">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28A45675">
      <w:pPr>
        <w:keepNext w:val="0"/>
        <w:keepLines w:val="0"/>
        <w:pageBreakBefore w:val="0"/>
        <w:shd w:val="clear" w:color="auto" w:fill="FFFFFF"/>
        <w:kinsoku/>
        <w:wordWrap/>
        <w:overflowPunct/>
        <w:topLinePunct w:val="0"/>
        <w:bidi w:val="0"/>
        <w:spacing w:line="360" w:lineRule="auto"/>
        <w:ind w:left="0" w:leftChars="0" w:right="0"/>
        <w:jc w:val="center"/>
        <w:textAlignment w:val="auto"/>
        <w:rPr>
          <w:rFonts w:hint="eastAsia" w:ascii="宋体" w:hAnsi="宋体" w:eastAsia="宋体" w:cs="宋体"/>
          <w:b/>
          <w:sz w:val="24"/>
          <w:szCs w:val="24"/>
          <w:highlight w:val="none"/>
        </w:rPr>
      </w:pPr>
      <w:r>
        <w:rPr>
          <w:rStyle w:val="31"/>
          <w:rFonts w:hint="eastAsia" w:ascii="宋体" w:hAnsi="宋体" w:eastAsia="宋体" w:cs="宋体"/>
          <w:b/>
          <w:color w:val="000000"/>
          <w:kern w:val="0"/>
          <w:sz w:val="32"/>
          <w:szCs w:val="32"/>
          <w:highlight w:val="none"/>
          <w:lang w:val="en-US" w:eastAsia="zh-CN"/>
        </w:rPr>
        <w:t>第九部分  对招标文件及合同条款的承诺及补充意见</w:t>
      </w:r>
    </w:p>
    <w:p w14:paraId="0081C22F">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5C72AF1E">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11154315">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169A3379">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0BC549F2">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0D122526">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4150A5E6">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7C73519F">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1D5ABECB">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16349314">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4824AAB8">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6C4FA0A2">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4C614982">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517A1705">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5FC39D9F">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2D498AC3">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233AFD13">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0FAC6DAE">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345D6DCA">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4521E49B">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footerReference r:id="rId10" w:type="first"/>
      <w:footerReference r:id="rId9" w:type="default"/>
      <w:pgSz w:w="11905" w:h="16838"/>
      <w:pgMar w:top="1440" w:right="1587" w:bottom="1440" w:left="1803" w:header="851" w:footer="992" w:gutter="0"/>
      <w:pgNumType w:fmt="decimal"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7023E">
    <w:pPr>
      <w:pStyle w:val="14"/>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3929C">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1F5C9">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EFEF0">
    <w:pPr>
      <w:pStyle w:val="14"/>
      <w:rPr>
        <w:u w:val="none"/>
        <w:lang w:val="en-US"/>
      </w:rPr>
    </w:pPr>
    <w:r>
      <w:rPr>
        <w:rFonts w:hint="eastAsia"/>
        <w:u w:val="none"/>
        <w:lang w:val="en-US" w:eastAsia="zh-CN"/>
      </w:rPr>
      <w:t xml:space="preserve">                                                                </w:t>
    </w:r>
  </w:p>
  <w:p w14:paraId="5B379B4E">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031DB">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1946A">
                          <w:pPr>
                            <w:pStyle w:val="14"/>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A1946A">
                    <w:pPr>
                      <w:pStyle w:val="14"/>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6BBB4">
    <w:pPr>
      <w:pStyle w:val="14"/>
      <w:rPr>
        <w:u w:val="none"/>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321F87">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7321F87">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u w:val="none"/>
        <w:lang w:val="en-US" w:eastAsia="zh-CN"/>
      </w:rPr>
      <w:t xml:space="preserve">                                                                </w:t>
    </w:r>
  </w:p>
  <w:p w14:paraId="5DED824D">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2D057">
    <w:pPr>
      <w:pStyle w:val="15"/>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BB8B2">
    <w:pPr>
      <w:pStyle w:val="15"/>
      <w:pBdr>
        <w:bottom w:val="none" w:color="auto" w:sz="0" w:space="0"/>
      </w:pBdr>
      <w:jc w:val="left"/>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eastAsia="宋体" w:cs="宋体"/>
        <w:sz w:val="21"/>
        <w:szCs w:val="21"/>
        <w:highlight w:val="none"/>
        <w:u w:val="single"/>
        <w:lang w:val="en-US" w:eastAsia="zh-CN"/>
      </w:rPr>
      <w:t>2024-2025年度零星家具供货商遴选项目</w:t>
    </w:r>
    <w:r>
      <w:rPr>
        <w:rFonts w:hint="eastAsia" w:ascii="宋体" w:hAnsi="宋体" w:cs="宋体"/>
        <w:sz w:val="21"/>
        <w:szCs w:val="21"/>
        <w:highlight w:val="none"/>
        <w:u w:val="single"/>
        <w:lang w:val="en-US" w:eastAsia="zh-CN"/>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B224264C"/>
    <w:multiLevelType w:val="singleLevel"/>
    <w:tmpl w:val="B224264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NTk3M2EwMWRjYjU0YWZlOWE2NGFkMGM1MzI3OGEifQ=="/>
  </w:docVars>
  <w:rsids>
    <w:rsidRoot w:val="00172A27"/>
    <w:rsid w:val="00465ECC"/>
    <w:rsid w:val="005554AA"/>
    <w:rsid w:val="005D0A5C"/>
    <w:rsid w:val="007E24FE"/>
    <w:rsid w:val="010B58B5"/>
    <w:rsid w:val="01645E1C"/>
    <w:rsid w:val="027E7DB7"/>
    <w:rsid w:val="02B27C76"/>
    <w:rsid w:val="02F62934"/>
    <w:rsid w:val="039B74C3"/>
    <w:rsid w:val="03D00EB0"/>
    <w:rsid w:val="03DA5946"/>
    <w:rsid w:val="0469746C"/>
    <w:rsid w:val="048B7A0B"/>
    <w:rsid w:val="05242ACF"/>
    <w:rsid w:val="056F3ACA"/>
    <w:rsid w:val="05B47BAE"/>
    <w:rsid w:val="060C49AE"/>
    <w:rsid w:val="08372524"/>
    <w:rsid w:val="085F1064"/>
    <w:rsid w:val="08F8348E"/>
    <w:rsid w:val="09063C58"/>
    <w:rsid w:val="096E3BF7"/>
    <w:rsid w:val="09907300"/>
    <w:rsid w:val="09A73FC7"/>
    <w:rsid w:val="0AA720FE"/>
    <w:rsid w:val="0AAF3B94"/>
    <w:rsid w:val="0AD43A04"/>
    <w:rsid w:val="0B0A6BB0"/>
    <w:rsid w:val="0B280A1E"/>
    <w:rsid w:val="0BBF6171"/>
    <w:rsid w:val="0C0345EF"/>
    <w:rsid w:val="0C0D01E5"/>
    <w:rsid w:val="0DBF2F04"/>
    <w:rsid w:val="0DCF5EA1"/>
    <w:rsid w:val="0DDB4A72"/>
    <w:rsid w:val="0E5076CE"/>
    <w:rsid w:val="0E951860"/>
    <w:rsid w:val="0EB966C4"/>
    <w:rsid w:val="0ED36CB6"/>
    <w:rsid w:val="0EEF2651"/>
    <w:rsid w:val="0F147250"/>
    <w:rsid w:val="0F300484"/>
    <w:rsid w:val="0F877321"/>
    <w:rsid w:val="0F9A0817"/>
    <w:rsid w:val="107D7CA0"/>
    <w:rsid w:val="109A3148"/>
    <w:rsid w:val="119A7D8C"/>
    <w:rsid w:val="12054E29"/>
    <w:rsid w:val="13180E57"/>
    <w:rsid w:val="13B54432"/>
    <w:rsid w:val="140C3DCA"/>
    <w:rsid w:val="145E29E4"/>
    <w:rsid w:val="14C04C3E"/>
    <w:rsid w:val="159C6CE8"/>
    <w:rsid w:val="15AB3631"/>
    <w:rsid w:val="15DD3C8F"/>
    <w:rsid w:val="16293FDA"/>
    <w:rsid w:val="17576A80"/>
    <w:rsid w:val="17B50540"/>
    <w:rsid w:val="18080AA2"/>
    <w:rsid w:val="182E26C4"/>
    <w:rsid w:val="18D71164"/>
    <w:rsid w:val="1A247EB5"/>
    <w:rsid w:val="1AA14ED9"/>
    <w:rsid w:val="1AA61EB6"/>
    <w:rsid w:val="1AB8095B"/>
    <w:rsid w:val="1C0E5422"/>
    <w:rsid w:val="1CA443B4"/>
    <w:rsid w:val="1CED6FE2"/>
    <w:rsid w:val="1D50009C"/>
    <w:rsid w:val="1DEE4FB5"/>
    <w:rsid w:val="1E7164E4"/>
    <w:rsid w:val="1EA614E5"/>
    <w:rsid w:val="1F637E0E"/>
    <w:rsid w:val="1FA87BB2"/>
    <w:rsid w:val="205D1D58"/>
    <w:rsid w:val="20622E8C"/>
    <w:rsid w:val="206623B0"/>
    <w:rsid w:val="2152344A"/>
    <w:rsid w:val="2216246C"/>
    <w:rsid w:val="22577684"/>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AC6082"/>
    <w:rsid w:val="2A9065A0"/>
    <w:rsid w:val="2AC56216"/>
    <w:rsid w:val="2C3B15FD"/>
    <w:rsid w:val="2CF55279"/>
    <w:rsid w:val="2D5B77E5"/>
    <w:rsid w:val="2EDB11AD"/>
    <w:rsid w:val="2F137503"/>
    <w:rsid w:val="2F8855E0"/>
    <w:rsid w:val="2FBA1591"/>
    <w:rsid w:val="30327416"/>
    <w:rsid w:val="319E013D"/>
    <w:rsid w:val="31B55296"/>
    <w:rsid w:val="323D1D07"/>
    <w:rsid w:val="33D94129"/>
    <w:rsid w:val="35883226"/>
    <w:rsid w:val="359C22F1"/>
    <w:rsid w:val="361718C6"/>
    <w:rsid w:val="362274F1"/>
    <w:rsid w:val="36286605"/>
    <w:rsid w:val="36E33039"/>
    <w:rsid w:val="36F650BE"/>
    <w:rsid w:val="37CF1E69"/>
    <w:rsid w:val="38323D78"/>
    <w:rsid w:val="385A1F00"/>
    <w:rsid w:val="38A02D03"/>
    <w:rsid w:val="38A05B14"/>
    <w:rsid w:val="38B96CBA"/>
    <w:rsid w:val="38DB49BE"/>
    <w:rsid w:val="38E92600"/>
    <w:rsid w:val="39116961"/>
    <w:rsid w:val="397F1A3A"/>
    <w:rsid w:val="39A714EB"/>
    <w:rsid w:val="39FC0215"/>
    <w:rsid w:val="3A120C14"/>
    <w:rsid w:val="3AFA5ADA"/>
    <w:rsid w:val="3B042899"/>
    <w:rsid w:val="3B0836E3"/>
    <w:rsid w:val="3B894804"/>
    <w:rsid w:val="3C6008AD"/>
    <w:rsid w:val="3CD71AFE"/>
    <w:rsid w:val="3D4717F5"/>
    <w:rsid w:val="3DE94093"/>
    <w:rsid w:val="3E0427FF"/>
    <w:rsid w:val="3E1B6A1F"/>
    <w:rsid w:val="3E2C5397"/>
    <w:rsid w:val="3FC50572"/>
    <w:rsid w:val="3FF73C5F"/>
    <w:rsid w:val="40663513"/>
    <w:rsid w:val="40E92655"/>
    <w:rsid w:val="41FD6188"/>
    <w:rsid w:val="42C43BC6"/>
    <w:rsid w:val="42CB7C52"/>
    <w:rsid w:val="42DB25F4"/>
    <w:rsid w:val="42EE156B"/>
    <w:rsid w:val="432A22FC"/>
    <w:rsid w:val="437215DF"/>
    <w:rsid w:val="4385131F"/>
    <w:rsid w:val="446B2CF5"/>
    <w:rsid w:val="44F50DE2"/>
    <w:rsid w:val="45016DC9"/>
    <w:rsid w:val="4537679D"/>
    <w:rsid w:val="459C4CE0"/>
    <w:rsid w:val="45B87CDC"/>
    <w:rsid w:val="45C945EF"/>
    <w:rsid w:val="45C9667C"/>
    <w:rsid w:val="4661488C"/>
    <w:rsid w:val="46840079"/>
    <w:rsid w:val="46B21187"/>
    <w:rsid w:val="46D54EE3"/>
    <w:rsid w:val="4727792E"/>
    <w:rsid w:val="476924A8"/>
    <w:rsid w:val="47AD00CB"/>
    <w:rsid w:val="48245C60"/>
    <w:rsid w:val="48E92BDF"/>
    <w:rsid w:val="496D062C"/>
    <w:rsid w:val="4AC5484B"/>
    <w:rsid w:val="4B390CB0"/>
    <w:rsid w:val="4BA72379"/>
    <w:rsid w:val="4BC96FC4"/>
    <w:rsid w:val="4C786227"/>
    <w:rsid w:val="4C9C314F"/>
    <w:rsid w:val="4D16338C"/>
    <w:rsid w:val="4D477007"/>
    <w:rsid w:val="4D945FDB"/>
    <w:rsid w:val="4E266FEC"/>
    <w:rsid w:val="4E4313A3"/>
    <w:rsid w:val="4E567461"/>
    <w:rsid w:val="4E7F2A48"/>
    <w:rsid w:val="4EF43184"/>
    <w:rsid w:val="4FE96673"/>
    <w:rsid w:val="50633F09"/>
    <w:rsid w:val="51071B04"/>
    <w:rsid w:val="5114481D"/>
    <w:rsid w:val="512E7E73"/>
    <w:rsid w:val="517322DB"/>
    <w:rsid w:val="521D7D61"/>
    <w:rsid w:val="52AE140E"/>
    <w:rsid w:val="52B04A79"/>
    <w:rsid w:val="532145A6"/>
    <w:rsid w:val="548B33B8"/>
    <w:rsid w:val="54B90F7D"/>
    <w:rsid w:val="54D9246E"/>
    <w:rsid w:val="55697F23"/>
    <w:rsid w:val="55D50D83"/>
    <w:rsid w:val="562542A9"/>
    <w:rsid w:val="57367CB3"/>
    <w:rsid w:val="57D410A6"/>
    <w:rsid w:val="57F85340"/>
    <w:rsid w:val="5809306F"/>
    <w:rsid w:val="58243BA5"/>
    <w:rsid w:val="5897386A"/>
    <w:rsid w:val="59544296"/>
    <w:rsid w:val="5991685B"/>
    <w:rsid w:val="599858D4"/>
    <w:rsid w:val="5A3E331D"/>
    <w:rsid w:val="5A574BE8"/>
    <w:rsid w:val="5ABA7A2C"/>
    <w:rsid w:val="5B495DC7"/>
    <w:rsid w:val="5BBE579F"/>
    <w:rsid w:val="5BCD355F"/>
    <w:rsid w:val="5C035D71"/>
    <w:rsid w:val="5C3239B4"/>
    <w:rsid w:val="5C434D77"/>
    <w:rsid w:val="5C601FAF"/>
    <w:rsid w:val="5CB03E12"/>
    <w:rsid w:val="5D7308D9"/>
    <w:rsid w:val="5DCE4834"/>
    <w:rsid w:val="5DEF1EB3"/>
    <w:rsid w:val="5E3C5045"/>
    <w:rsid w:val="5EDA39E1"/>
    <w:rsid w:val="5F775C2F"/>
    <w:rsid w:val="600D1517"/>
    <w:rsid w:val="60E74E08"/>
    <w:rsid w:val="62B32A7F"/>
    <w:rsid w:val="62CF4AA5"/>
    <w:rsid w:val="62F4316B"/>
    <w:rsid w:val="63C41A1E"/>
    <w:rsid w:val="63D934C8"/>
    <w:rsid w:val="641C6318"/>
    <w:rsid w:val="6492769B"/>
    <w:rsid w:val="64C6694E"/>
    <w:rsid w:val="65BC657A"/>
    <w:rsid w:val="65BF5A4E"/>
    <w:rsid w:val="671B5071"/>
    <w:rsid w:val="67A2643E"/>
    <w:rsid w:val="67C85D1E"/>
    <w:rsid w:val="682B6C96"/>
    <w:rsid w:val="690D2E04"/>
    <w:rsid w:val="6A053FC1"/>
    <w:rsid w:val="6A68276C"/>
    <w:rsid w:val="6A8E3EF3"/>
    <w:rsid w:val="6BBD0C12"/>
    <w:rsid w:val="6BC81C42"/>
    <w:rsid w:val="6C834610"/>
    <w:rsid w:val="6CA1071F"/>
    <w:rsid w:val="6CAC513A"/>
    <w:rsid w:val="6CF76CB6"/>
    <w:rsid w:val="6DF92E91"/>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5095CCC"/>
    <w:rsid w:val="765F516C"/>
    <w:rsid w:val="76A61B17"/>
    <w:rsid w:val="771E1B9C"/>
    <w:rsid w:val="772C7E4F"/>
    <w:rsid w:val="774429A8"/>
    <w:rsid w:val="77F550A7"/>
    <w:rsid w:val="784C7B05"/>
    <w:rsid w:val="7879089F"/>
    <w:rsid w:val="79A25289"/>
    <w:rsid w:val="7ADF1AE9"/>
    <w:rsid w:val="7B9A7898"/>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3"/>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5">
    <w:name w:val="heading 2"/>
    <w:basedOn w:val="1"/>
    <w:next w:val="6"/>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8">
    <w:name w:val="heading 3"/>
    <w:basedOn w:val="1"/>
    <w:next w:val="1"/>
    <w:qFormat/>
    <w:uiPriority w:val="99"/>
    <w:pPr>
      <w:tabs>
        <w:tab w:val="left" w:pos="588"/>
      </w:tabs>
      <w:spacing w:line="360" w:lineRule="auto"/>
      <w:outlineLvl w:val="2"/>
    </w:pPr>
    <w:rPr>
      <w:rFonts w:ascii="Tahoma" w:hAnsi="Tahoma"/>
    </w:rPr>
  </w:style>
  <w:style w:type="paragraph" w:styleId="9">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6">
    <w:name w:val="Normal Indent"/>
    <w:basedOn w:val="1"/>
    <w:next w:val="7"/>
    <w:qFormat/>
    <w:uiPriority w:val="0"/>
    <w:pPr>
      <w:ind w:firstLine="420" w:firstLineChars="200"/>
    </w:pPr>
    <w:rPr>
      <w:rFonts w:ascii="Calibri" w:hAnsi="Calibri"/>
      <w:kern w:val="0"/>
      <w:sz w:val="20"/>
    </w:rPr>
  </w:style>
  <w:style w:type="paragraph" w:styleId="7">
    <w:name w:val="toc 4"/>
    <w:basedOn w:val="1"/>
    <w:next w:val="1"/>
    <w:qFormat/>
    <w:uiPriority w:val="39"/>
    <w:pPr>
      <w:spacing w:line="440" w:lineRule="exact"/>
      <w:ind w:left="840"/>
      <w:jc w:val="left"/>
    </w:pPr>
    <w:rPr>
      <w:rFonts w:ascii="Calibri" w:hAnsi="Calibri"/>
      <w:sz w:val="18"/>
      <w:szCs w:val="18"/>
    </w:rPr>
  </w:style>
  <w:style w:type="paragraph" w:styleId="10">
    <w:name w:val="annotation text"/>
    <w:basedOn w:val="1"/>
    <w:link w:val="29"/>
    <w:qFormat/>
    <w:uiPriority w:val="0"/>
    <w:pPr>
      <w:jc w:val="left"/>
    </w:pPr>
  </w:style>
  <w:style w:type="paragraph" w:styleId="11">
    <w:name w:val="Body Text"/>
    <w:basedOn w:val="1"/>
    <w:next w:val="1"/>
    <w:qFormat/>
    <w:uiPriority w:val="99"/>
    <w:pPr>
      <w:tabs>
        <w:tab w:val="left" w:pos="7290"/>
      </w:tabs>
    </w:pPr>
    <w:rPr>
      <w:b/>
      <w:u w:val="single"/>
    </w:rPr>
  </w:style>
  <w:style w:type="paragraph" w:styleId="12">
    <w:name w:val="Date"/>
    <w:basedOn w:val="1"/>
    <w:next w:val="1"/>
    <w:qFormat/>
    <w:uiPriority w:val="0"/>
    <w:rPr>
      <w:rFonts w:ascii="Copperplate Gothic Bold" w:hAnsi="Copperplate Gothic Bold"/>
      <w:sz w:val="32"/>
    </w:rPr>
  </w:style>
  <w:style w:type="paragraph" w:styleId="13">
    <w:name w:val="Balloon Text"/>
    <w:basedOn w:val="1"/>
    <w:qFormat/>
    <w:uiPriority w:val="0"/>
    <w:rPr>
      <w:sz w:val="18"/>
      <w:szCs w:val="18"/>
    </w:rPr>
  </w:style>
  <w:style w:type="paragraph" w:styleId="14">
    <w:name w:val="footer"/>
    <w:basedOn w:val="1"/>
    <w:link w:val="27"/>
    <w:qFormat/>
    <w:uiPriority w:val="0"/>
    <w:pPr>
      <w:tabs>
        <w:tab w:val="center" w:pos="4153"/>
        <w:tab w:val="right" w:pos="8306"/>
      </w:tabs>
      <w:snapToGrid w:val="0"/>
      <w:jc w:val="left"/>
    </w:pPr>
    <w:rPr>
      <w:sz w:val="18"/>
      <w:szCs w:val="18"/>
    </w:rPr>
  </w:style>
  <w:style w:type="paragraph" w:styleId="15">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b/>
      <w:spacing w:val="-20"/>
      <w:w w:val="130"/>
      <w:sz w:val="48"/>
      <w:szCs w:val="20"/>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10"/>
    <w:next w:val="10"/>
    <w:link w:val="30"/>
    <w:qFormat/>
    <w:uiPriority w:val="0"/>
    <w:rPr>
      <w:b/>
      <w:bCs/>
    </w:rPr>
  </w:style>
  <w:style w:type="paragraph" w:styleId="19">
    <w:name w:val="Body Text First Indent"/>
    <w:basedOn w:val="11"/>
    <w:next w:val="2"/>
    <w:qFormat/>
    <w:uiPriority w:val="99"/>
    <w:pPr>
      <w:spacing w:line="240" w:lineRule="auto"/>
      <w:ind w:firstLine="420" w:firstLineChars="100"/>
    </w:pPr>
    <w:rPr>
      <w:rFonts w:ascii="Times New Roman" w:hAnsi="Times New Roman" w:cs="Times New Roman"/>
      <w:sz w:val="18"/>
      <w:szCs w:val="1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annotation reference"/>
    <w:qFormat/>
    <w:uiPriority w:val="0"/>
    <w:rPr>
      <w:sz w:val="21"/>
      <w:szCs w:val="21"/>
    </w:rPr>
  </w:style>
  <w:style w:type="character" w:customStyle="1" w:styleId="26">
    <w:name w:val="页眉 Char"/>
    <w:link w:val="15"/>
    <w:qFormat/>
    <w:uiPriority w:val="0"/>
    <w:rPr>
      <w:kern w:val="2"/>
      <w:sz w:val="18"/>
      <w:szCs w:val="18"/>
    </w:rPr>
  </w:style>
  <w:style w:type="character" w:customStyle="1" w:styleId="27">
    <w:name w:val="页脚 Char"/>
    <w:link w:val="14"/>
    <w:qFormat/>
    <w:uiPriority w:val="0"/>
    <w:rPr>
      <w:kern w:val="2"/>
      <w:sz w:val="18"/>
      <w:szCs w:val="18"/>
    </w:rPr>
  </w:style>
  <w:style w:type="paragraph" w:customStyle="1" w:styleId="28">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9">
    <w:name w:val="批注文字 Char"/>
    <w:link w:val="10"/>
    <w:qFormat/>
    <w:uiPriority w:val="0"/>
    <w:rPr>
      <w:kern w:val="2"/>
      <w:sz w:val="21"/>
      <w:szCs w:val="24"/>
    </w:rPr>
  </w:style>
  <w:style w:type="character" w:customStyle="1" w:styleId="30">
    <w:name w:val="批注主题 Char"/>
    <w:link w:val="18"/>
    <w:qFormat/>
    <w:uiPriority w:val="0"/>
    <w:rPr>
      <w:b/>
      <w:bCs/>
      <w:kern w:val="2"/>
      <w:sz w:val="21"/>
      <w:szCs w:val="24"/>
    </w:rPr>
  </w:style>
  <w:style w:type="character" w:customStyle="1" w:styleId="31">
    <w:name w:val="NormalCharacter"/>
    <w:qFormat/>
    <w:uiPriority w:val="0"/>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1 Char"/>
    <w:link w:val="4"/>
    <w:qFormat/>
    <w:uiPriority w:val="0"/>
    <w:rPr>
      <w:rFonts w:ascii="Times New Roman" w:hAnsi="Times New Roman" w:eastAsia="楷体_GB2312"/>
      <w:b/>
      <w:kern w:val="44"/>
      <w:sz w:val="44"/>
      <w:szCs w:val="20"/>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2"/>
    <w:qFormat/>
    <w:uiPriority w:val="0"/>
    <w:rPr>
      <w:rFonts w:hint="eastAsia" w:ascii="宋体" w:hAnsi="宋体" w:eastAsia="宋体" w:cs="宋体"/>
      <w:color w:val="000000"/>
      <w:sz w:val="22"/>
      <w:szCs w:val="22"/>
      <w:u w:val="none"/>
    </w:rPr>
  </w:style>
  <w:style w:type="paragraph" w:customStyle="1" w:styleId="36">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7">
    <w:name w:val="正文（缩进 2 字符）"/>
    <w:basedOn w:val="1"/>
    <w:qFormat/>
    <w:uiPriority w:val="99"/>
    <w:pPr>
      <w:ind w:firstLine="200" w:firstLineChars="200"/>
    </w:pPr>
  </w:style>
  <w:style w:type="paragraph" w:customStyle="1" w:styleId="38">
    <w:name w:val="Char"/>
    <w:basedOn w:val="1"/>
    <w:qFormat/>
    <w:uiPriority w:val="99"/>
    <w:pPr>
      <w:spacing w:after="160" w:line="240" w:lineRule="exact"/>
      <w:jc w:val="left"/>
    </w:pPr>
    <w:rPr>
      <w:rFonts w:ascii="Verdana" w:hAnsi="Verdana" w:eastAsia="仿宋_GB2312"/>
      <w:kern w:val="0"/>
      <w:sz w:val="24"/>
      <w:szCs w:val="20"/>
      <w:lang w:eastAsia="en-US"/>
    </w:rPr>
  </w:style>
  <w:style w:type="character" w:customStyle="1" w:styleId="39">
    <w:name w:val="font61"/>
    <w:basedOn w:val="22"/>
    <w:qFormat/>
    <w:uiPriority w:val="0"/>
    <w:rPr>
      <w:rFonts w:hint="eastAsia" w:ascii="宋体" w:hAnsi="宋体" w:eastAsia="宋体" w:cs="宋体"/>
      <w:color w:val="000000"/>
      <w:sz w:val="20"/>
      <w:szCs w:val="20"/>
      <w:u w:val="none"/>
    </w:rPr>
  </w:style>
  <w:style w:type="character" w:customStyle="1" w:styleId="40">
    <w:name w:val="font101"/>
    <w:basedOn w:val="22"/>
    <w:qFormat/>
    <w:uiPriority w:val="0"/>
    <w:rPr>
      <w:rFonts w:hint="eastAsia" w:ascii="宋体" w:hAnsi="宋体" w:eastAsia="宋体" w:cs="宋体"/>
      <w:color w:val="000000"/>
      <w:sz w:val="16"/>
      <w:szCs w:val="16"/>
      <w:u w:val="none"/>
    </w:rPr>
  </w:style>
  <w:style w:type="character" w:customStyle="1" w:styleId="41">
    <w:name w:val="font111"/>
    <w:basedOn w:val="22"/>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49</Pages>
  <Words>20421</Words>
  <Characters>23053</Characters>
  <Paragraphs>503</Paragraphs>
  <TotalTime>46</TotalTime>
  <ScaleCrop>false</ScaleCrop>
  <LinksUpToDate>false</LinksUpToDate>
  <CharactersWithSpaces>27772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M丶Young</cp:lastModifiedBy>
  <cp:lastPrinted>2023-03-04T01:22:00Z</cp:lastPrinted>
  <dcterms:modified xsi:type="dcterms:W3CDTF">2024-10-28T06:02:08Z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E9C68A7EA56143ECB92F2DDC89ED9EF3_13</vt:lpwstr>
  </property>
</Properties>
</file>