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290954">
      <w:pPr>
        <w:shd w:val="clear" w:color="auto" w:fill="FFFFFF"/>
        <w:spacing w:line="360" w:lineRule="auto"/>
        <w:jc w:val="left"/>
        <w:rPr>
          <w:rStyle w:val="20"/>
          <w:rFonts w:hint="eastAsia" w:ascii="宋体" w:hAnsi="宋体" w:eastAsia="宋体" w:cs="宋体"/>
          <w:color w:val="FFFF00"/>
          <w:kern w:val="0"/>
          <w:sz w:val="28"/>
          <w:szCs w:val="28"/>
          <w:lang w:eastAsia="zh-CN"/>
        </w:rPr>
      </w:pPr>
      <w:bookmarkStart w:id="0" w:name="_Toc401837215"/>
      <w:r>
        <w:rPr>
          <w:rStyle w:val="20"/>
          <w:rFonts w:hint="eastAsia" w:ascii="宋体" w:hAnsi="宋体" w:cs="宋体"/>
          <w:b/>
          <w:sz w:val="28"/>
          <w:szCs w:val="28"/>
        </w:rPr>
        <w:t>项目编号：</w:t>
      </w:r>
      <w:r>
        <w:rPr>
          <w:rStyle w:val="20"/>
          <w:rFonts w:hint="eastAsia" w:ascii="宋体" w:hAnsi="宋体" w:cs="宋体"/>
          <w:b/>
          <w:sz w:val="28"/>
          <w:szCs w:val="28"/>
          <w:lang w:eastAsia="zh-CN"/>
        </w:rPr>
        <w:t>SZRFYZB202410-186</w:t>
      </w:r>
    </w:p>
    <w:p w14:paraId="1057ABD8">
      <w:pPr>
        <w:shd w:val="clear" w:color="auto" w:fill="FFFFFF"/>
        <w:spacing w:line="360" w:lineRule="auto"/>
        <w:ind w:firstLine="480" w:firstLineChars="200"/>
        <w:jc w:val="center"/>
        <w:rPr>
          <w:rStyle w:val="20"/>
          <w:rFonts w:hint="eastAsia" w:ascii="宋体" w:hAnsi="宋体" w:cs="宋体"/>
          <w:color w:val="000000"/>
          <w:kern w:val="0"/>
          <w:sz w:val="24"/>
        </w:rPr>
      </w:pPr>
    </w:p>
    <w:p w14:paraId="0E682628">
      <w:pPr>
        <w:shd w:val="clear" w:color="auto" w:fill="FFFFFF"/>
        <w:spacing w:line="360" w:lineRule="auto"/>
        <w:ind w:firstLine="480" w:firstLineChars="200"/>
        <w:jc w:val="center"/>
        <w:rPr>
          <w:rStyle w:val="20"/>
          <w:rFonts w:hint="eastAsia" w:ascii="宋体" w:hAnsi="宋体" w:cs="宋体"/>
          <w:color w:val="000000"/>
          <w:kern w:val="0"/>
          <w:sz w:val="24"/>
        </w:rPr>
      </w:pPr>
    </w:p>
    <w:p w14:paraId="4C8C9835">
      <w:pPr>
        <w:pStyle w:val="9"/>
        <w:spacing w:line="360" w:lineRule="auto"/>
        <w:rPr>
          <w:rStyle w:val="20"/>
          <w:rFonts w:hint="eastAsia" w:ascii="宋体" w:hAnsi="宋体" w:cs="宋体"/>
          <w:color w:val="000000"/>
          <w:kern w:val="0"/>
          <w:sz w:val="24"/>
          <w:szCs w:val="24"/>
        </w:rPr>
      </w:pPr>
    </w:p>
    <w:p w14:paraId="48B814A0">
      <w:pPr>
        <w:pStyle w:val="9"/>
        <w:spacing w:line="360" w:lineRule="auto"/>
        <w:rPr>
          <w:rStyle w:val="20"/>
          <w:rFonts w:hint="eastAsia" w:ascii="宋体" w:hAnsi="宋体" w:cs="宋体"/>
          <w:color w:val="000000"/>
          <w:kern w:val="0"/>
          <w:sz w:val="24"/>
          <w:szCs w:val="24"/>
        </w:rPr>
      </w:pPr>
    </w:p>
    <w:p w14:paraId="58FC2321">
      <w:pPr>
        <w:pStyle w:val="9"/>
        <w:spacing w:line="360" w:lineRule="auto"/>
        <w:rPr>
          <w:rStyle w:val="20"/>
          <w:rFonts w:hint="eastAsia" w:ascii="宋体" w:hAnsi="宋体" w:cs="宋体"/>
          <w:color w:val="000000"/>
          <w:kern w:val="0"/>
          <w:sz w:val="24"/>
          <w:szCs w:val="24"/>
        </w:rPr>
      </w:pPr>
    </w:p>
    <w:p w14:paraId="5BDC7D22">
      <w:pPr>
        <w:pStyle w:val="9"/>
        <w:spacing w:line="360" w:lineRule="auto"/>
        <w:rPr>
          <w:rStyle w:val="20"/>
          <w:rFonts w:hint="eastAsia" w:ascii="宋体" w:hAnsi="宋体" w:cs="宋体"/>
          <w:color w:val="000000"/>
          <w:kern w:val="0"/>
          <w:sz w:val="24"/>
          <w:szCs w:val="24"/>
        </w:rPr>
      </w:pPr>
    </w:p>
    <w:p w14:paraId="34B95A84">
      <w:pPr>
        <w:shd w:val="clear" w:color="auto" w:fill="FFFFFF"/>
        <w:spacing w:line="360" w:lineRule="auto"/>
        <w:jc w:val="center"/>
        <w:rPr>
          <w:rStyle w:val="20"/>
          <w:rFonts w:hint="eastAsia" w:ascii="宋体" w:hAnsi="宋体" w:cs="宋体"/>
          <w:b/>
          <w:sz w:val="52"/>
          <w:szCs w:val="52"/>
        </w:rPr>
      </w:pPr>
      <w:r>
        <w:rPr>
          <w:rStyle w:val="20"/>
          <w:rFonts w:hint="eastAsia" w:ascii="宋体" w:hAnsi="宋体" w:cs="宋体"/>
          <w:b/>
          <w:sz w:val="52"/>
          <w:szCs w:val="52"/>
        </w:rPr>
        <w:t>陕西中医药大学第二附属医院</w:t>
      </w:r>
    </w:p>
    <w:p w14:paraId="45D259A3">
      <w:pPr>
        <w:shd w:val="clear" w:color="auto" w:fill="FFFFFF"/>
        <w:spacing w:line="360" w:lineRule="auto"/>
        <w:jc w:val="center"/>
        <w:rPr>
          <w:rStyle w:val="20"/>
          <w:rFonts w:hint="eastAsia" w:ascii="宋体" w:hAnsi="宋体" w:cs="宋体"/>
          <w:color w:val="000000"/>
          <w:kern w:val="0"/>
          <w:sz w:val="24"/>
        </w:rPr>
      </w:pPr>
      <w:r>
        <w:rPr>
          <w:rStyle w:val="20"/>
          <w:rFonts w:hint="eastAsia" w:ascii="宋体" w:hAnsi="宋体" w:cs="宋体"/>
          <w:b/>
          <w:sz w:val="52"/>
          <w:szCs w:val="52"/>
        </w:rPr>
        <w:t>传染病前置软件接口采购项目</w:t>
      </w:r>
    </w:p>
    <w:p w14:paraId="31C59A55">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0" w:firstLineChars="0"/>
        <w:jc w:val="center"/>
        <w:textAlignment w:val="auto"/>
        <w:rPr>
          <w:rStyle w:val="20"/>
          <w:rFonts w:hint="eastAsia" w:ascii="宋体" w:hAnsi="宋体" w:cs="宋体"/>
          <w:color w:val="000000"/>
          <w:kern w:val="0"/>
          <w:sz w:val="32"/>
          <w:szCs w:val="32"/>
        </w:rPr>
      </w:pPr>
    </w:p>
    <w:p w14:paraId="04BE79BC">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0" w:firstLineChars="0"/>
        <w:jc w:val="center"/>
        <w:textAlignment w:val="auto"/>
        <w:rPr>
          <w:rStyle w:val="20"/>
          <w:rFonts w:hint="eastAsia" w:ascii="宋体" w:hAnsi="宋体" w:cs="宋体"/>
          <w:color w:val="000000"/>
          <w:kern w:val="0"/>
          <w:sz w:val="32"/>
          <w:szCs w:val="32"/>
        </w:rPr>
      </w:pPr>
    </w:p>
    <w:p w14:paraId="1A50E662">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0" w:firstLineChars="0"/>
        <w:jc w:val="center"/>
        <w:textAlignment w:val="auto"/>
        <w:rPr>
          <w:rStyle w:val="20"/>
          <w:rFonts w:hint="eastAsia" w:ascii="宋体" w:hAnsi="宋体" w:cs="宋体"/>
          <w:color w:val="000000"/>
          <w:kern w:val="0"/>
          <w:sz w:val="32"/>
          <w:szCs w:val="32"/>
        </w:rPr>
      </w:pPr>
    </w:p>
    <w:p w14:paraId="2CA30336">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0" w:firstLineChars="0"/>
        <w:jc w:val="center"/>
        <w:textAlignment w:val="auto"/>
        <w:outlineLvl w:val="0"/>
        <w:rPr>
          <w:rStyle w:val="20"/>
          <w:rFonts w:hint="eastAsia" w:ascii="宋体" w:hAnsi="宋体" w:cs="宋体"/>
          <w:b/>
          <w:color w:val="000000"/>
          <w:kern w:val="0"/>
          <w:sz w:val="32"/>
          <w:szCs w:val="32"/>
        </w:rPr>
      </w:pPr>
    </w:p>
    <w:p w14:paraId="04BEFEA5">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0" w:firstLineChars="0"/>
        <w:jc w:val="center"/>
        <w:textAlignment w:val="auto"/>
        <w:rPr>
          <w:rStyle w:val="20"/>
          <w:rFonts w:hint="eastAsia" w:ascii="宋体" w:hAnsi="宋体" w:cs="宋体"/>
          <w:color w:val="000000"/>
          <w:kern w:val="0"/>
          <w:sz w:val="32"/>
          <w:szCs w:val="32"/>
        </w:rPr>
      </w:pPr>
    </w:p>
    <w:p w14:paraId="2E3BB31E">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0" w:firstLineChars="0"/>
        <w:jc w:val="center"/>
        <w:textAlignment w:val="auto"/>
        <w:rPr>
          <w:rStyle w:val="20"/>
          <w:rFonts w:hint="eastAsia" w:ascii="宋体" w:hAnsi="宋体" w:cs="宋体"/>
          <w:color w:val="000000"/>
          <w:kern w:val="0"/>
          <w:sz w:val="32"/>
          <w:szCs w:val="32"/>
        </w:rPr>
      </w:pPr>
    </w:p>
    <w:p w14:paraId="4353620F">
      <w:pPr>
        <w:pStyle w:val="11"/>
        <w:spacing w:line="360" w:lineRule="auto"/>
        <w:ind w:left="0" w:firstLine="0" w:firstLineChars="0"/>
        <w:rPr>
          <w:rFonts w:hint="eastAsia" w:ascii="宋体" w:hAnsi="宋体" w:cs="宋体"/>
          <w:sz w:val="24"/>
        </w:rPr>
      </w:pPr>
    </w:p>
    <w:p w14:paraId="70E5C352">
      <w:pPr>
        <w:pStyle w:val="11"/>
        <w:spacing w:line="360" w:lineRule="auto"/>
        <w:ind w:left="0" w:firstLine="0" w:firstLineChars="0"/>
        <w:rPr>
          <w:rFonts w:hint="eastAsia" w:ascii="宋体" w:hAnsi="宋体" w:cs="宋体"/>
          <w:sz w:val="24"/>
        </w:rPr>
      </w:pPr>
    </w:p>
    <w:p w14:paraId="398313E1">
      <w:pPr>
        <w:pStyle w:val="11"/>
        <w:spacing w:line="360" w:lineRule="auto"/>
        <w:ind w:left="0" w:firstLine="0" w:firstLineChars="0"/>
        <w:rPr>
          <w:rFonts w:hint="eastAsia" w:ascii="宋体" w:hAnsi="宋体" w:cs="宋体"/>
          <w:sz w:val="24"/>
        </w:rPr>
      </w:pPr>
    </w:p>
    <w:p w14:paraId="749E7893">
      <w:pPr>
        <w:spacing w:line="360" w:lineRule="auto"/>
        <w:jc w:val="left"/>
        <w:rPr>
          <w:rStyle w:val="20"/>
          <w:rFonts w:hint="eastAsia" w:ascii="宋体" w:hAnsi="宋体" w:cs="宋体"/>
          <w:b/>
          <w:sz w:val="24"/>
        </w:rPr>
      </w:pPr>
    </w:p>
    <w:p w14:paraId="7E84976F">
      <w:pPr>
        <w:pStyle w:val="11"/>
        <w:ind w:firstLine="400"/>
      </w:pPr>
    </w:p>
    <w:p w14:paraId="3FB27D3A">
      <w:pPr>
        <w:pStyle w:val="11"/>
        <w:ind w:firstLine="400"/>
      </w:pPr>
    </w:p>
    <w:p w14:paraId="3D7AF64F">
      <w:pPr>
        <w:spacing w:line="360" w:lineRule="auto"/>
        <w:jc w:val="center"/>
        <w:rPr>
          <w:rStyle w:val="20"/>
          <w:rFonts w:hint="eastAsia" w:ascii="宋体" w:hAnsi="宋体" w:cs="宋体"/>
          <w:b/>
          <w:sz w:val="28"/>
          <w:szCs w:val="28"/>
        </w:rPr>
      </w:pPr>
      <w:r>
        <w:rPr>
          <w:rStyle w:val="20"/>
          <w:rFonts w:hint="eastAsia" w:ascii="宋体" w:hAnsi="宋体" w:cs="宋体"/>
          <w:b/>
          <w:sz w:val="28"/>
          <w:szCs w:val="28"/>
        </w:rPr>
        <w:t>陕西中医药大学第二附属医院</w:t>
      </w:r>
    </w:p>
    <w:p w14:paraId="3147FF2E">
      <w:pPr>
        <w:spacing w:line="360" w:lineRule="auto"/>
        <w:jc w:val="center"/>
        <w:rPr>
          <w:rStyle w:val="20"/>
          <w:rFonts w:hint="eastAsia" w:ascii="宋体" w:hAnsi="宋体" w:cs="宋体"/>
          <w:b/>
          <w:color w:val="000000"/>
          <w:kern w:val="0"/>
          <w:sz w:val="28"/>
          <w:szCs w:val="28"/>
        </w:rPr>
      </w:pPr>
      <w:r>
        <w:rPr>
          <w:rStyle w:val="20"/>
          <w:rFonts w:hint="eastAsia" w:ascii="宋体" w:hAnsi="宋体" w:cs="宋体"/>
          <w:b/>
          <w:sz w:val="28"/>
          <w:szCs w:val="28"/>
        </w:rPr>
        <w:t>二〇二四年十一月</w:t>
      </w:r>
    </w:p>
    <w:p w14:paraId="67931ABA">
      <w:pPr>
        <w:snapToGrid w:val="0"/>
        <w:spacing w:line="360" w:lineRule="auto"/>
        <w:ind w:firstLine="480" w:firstLineChars="200"/>
        <w:rPr>
          <w:rFonts w:hint="eastAsia" w:ascii="宋体" w:hAnsi="宋体" w:cs="宋体"/>
          <w:sz w:val="24"/>
        </w:rPr>
      </w:pPr>
    </w:p>
    <w:p w14:paraId="62899DD4">
      <w:pPr>
        <w:pStyle w:val="11"/>
        <w:rPr>
          <w:rFonts w:hint="eastAsia"/>
        </w:rPr>
      </w:pPr>
    </w:p>
    <w:p w14:paraId="068BA817">
      <w:pPr>
        <w:spacing w:line="360" w:lineRule="auto"/>
        <w:ind w:firstLine="480" w:firstLineChars="200"/>
        <w:rPr>
          <w:rFonts w:hint="eastAsia" w:ascii="宋体" w:hAnsi="宋体" w:cs="宋体"/>
          <w:sz w:val="24"/>
        </w:rPr>
        <w:sectPr>
          <w:pgSz w:w="11906" w:h="16838"/>
          <w:pgMar w:top="1440" w:right="1800" w:bottom="1440" w:left="1800" w:header="851" w:footer="992" w:gutter="0"/>
          <w:cols w:space="425" w:num="1"/>
          <w:docGrid w:type="lines" w:linePitch="312" w:charSpace="0"/>
        </w:sectPr>
      </w:pPr>
    </w:p>
    <w:p w14:paraId="7F72FC8B">
      <w:pPr>
        <w:spacing w:line="360" w:lineRule="auto"/>
        <w:ind w:firstLine="480" w:firstLineChars="200"/>
        <w:rPr>
          <w:rFonts w:hint="eastAsia" w:ascii="宋体" w:hAnsi="宋体" w:cs="宋体"/>
          <w:sz w:val="24"/>
        </w:rPr>
        <w:sectPr>
          <w:pgSz w:w="11906" w:h="16838"/>
          <w:pgMar w:top="1440" w:right="1800" w:bottom="1440" w:left="1800" w:header="851" w:footer="992" w:gutter="0"/>
          <w:cols w:space="425" w:num="1"/>
          <w:docGrid w:type="lines" w:linePitch="312" w:charSpace="0"/>
        </w:sectPr>
      </w:pPr>
    </w:p>
    <w:p w14:paraId="2E984384">
      <w:pPr>
        <w:shd w:val="clear" w:color="auto" w:fill="FFFFFF"/>
        <w:spacing w:line="360" w:lineRule="auto"/>
        <w:jc w:val="center"/>
        <w:rPr>
          <w:rStyle w:val="20"/>
          <w:rFonts w:hint="default" w:ascii="宋体" w:hAnsi="宋体" w:eastAsia="宋体" w:cs="宋体"/>
          <w:b/>
          <w:sz w:val="40"/>
          <w:szCs w:val="40"/>
          <w:lang w:val="en-US" w:eastAsia="zh-CN"/>
        </w:rPr>
      </w:pPr>
      <w:r>
        <w:rPr>
          <w:rStyle w:val="20"/>
          <w:rFonts w:hint="eastAsia" w:ascii="宋体" w:hAnsi="宋体" w:cs="宋体"/>
          <w:b/>
          <w:sz w:val="40"/>
          <w:szCs w:val="40"/>
        </w:rPr>
        <w:t>陕西中医药大学第二附属医院传染病前置软件接口采购项目</w:t>
      </w:r>
      <w:r>
        <w:rPr>
          <w:rStyle w:val="20"/>
          <w:rFonts w:hint="eastAsia" w:ascii="宋体" w:hAnsi="宋体" w:cs="宋体"/>
          <w:b/>
          <w:sz w:val="40"/>
          <w:szCs w:val="40"/>
          <w:lang w:val="en-US" w:eastAsia="zh-CN"/>
        </w:rPr>
        <w:t>询价采购公告</w:t>
      </w:r>
    </w:p>
    <w:p w14:paraId="6C071D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陕西中医药大学第二附属医院</w:t>
      </w:r>
      <w:r>
        <w:rPr>
          <w:rFonts w:hint="eastAsia" w:ascii="宋体" w:hAnsi="宋体" w:cs="宋体"/>
          <w:sz w:val="24"/>
          <w:lang w:eastAsia="zh-CN"/>
        </w:rPr>
        <w:t>传染病前置软件接口</w:t>
      </w:r>
      <w:r>
        <w:rPr>
          <w:rFonts w:hint="eastAsia" w:ascii="宋体" w:hAnsi="宋体" w:cs="宋体"/>
          <w:sz w:val="24"/>
        </w:rPr>
        <w:t>采购项目，拟采取询价方式采购，欢迎提供本项目拟定的供应商前来洽谈，现将有关事项公布如下：</w:t>
      </w:r>
    </w:p>
    <w:p w14:paraId="6814CBB1">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宋体" w:hAnsi="宋体" w:cs="宋体"/>
          <w:sz w:val="24"/>
        </w:rPr>
      </w:pPr>
      <w:r>
        <w:rPr>
          <w:rFonts w:hint="eastAsia" w:ascii="宋体" w:hAnsi="宋体" w:cs="宋体"/>
          <w:b/>
          <w:bCs/>
          <w:sz w:val="24"/>
        </w:rPr>
        <w:t>项目名称：</w:t>
      </w:r>
      <w:r>
        <w:rPr>
          <w:rFonts w:hint="eastAsia" w:ascii="宋体" w:hAnsi="宋体" w:cs="宋体"/>
          <w:sz w:val="24"/>
        </w:rPr>
        <w:t>传染病前置软件接口采购项目</w:t>
      </w:r>
    </w:p>
    <w:p w14:paraId="00D72C08">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宋体" w:hAnsi="宋体" w:cs="宋体"/>
          <w:sz w:val="24"/>
        </w:rPr>
      </w:pPr>
      <w:r>
        <w:rPr>
          <w:rFonts w:hint="eastAsia" w:ascii="宋体" w:hAnsi="宋体" w:cs="宋体"/>
          <w:b/>
          <w:bCs/>
          <w:sz w:val="24"/>
        </w:rPr>
        <w:t>采购方式：</w:t>
      </w:r>
      <w:r>
        <w:rPr>
          <w:rFonts w:hint="eastAsia" w:ascii="宋体" w:hAnsi="宋体" w:cs="宋体"/>
          <w:sz w:val="24"/>
        </w:rPr>
        <w:t>询价采购</w:t>
      </w:r>
    </w:p>
    <w:p w14:paraId="59C0E381">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宋体" w:hAnsi="宋体" w:cs="宋体"/>
          <w:sz w:val="24"/>
        </w:rPr>
      </w:pPr>
      <w:r>
        <w:rPr>
          <w:rFonts w:hint="eastAsia" w:ascii="宋体" w:hAnsi="宋体" w:cs="宋体"/>
          <w:b/>
          <w:bCs/>
          <w:sz w:val="24"/>
        </w:rPr>
        <w:t>拟</w:t>
      </w:r>
      <w:r>
        <w:rPr>
          <w:rFonts w:hint="eastAsia" w:ascii="宋体" w:hAnsi="宋体" w:cs="宋体"/>
          <w:b/>
          <w:bCs/>
          <w:sz w:val="24"/>
          <w:lang w:val="en-US" w:eastAsia="zh-CN"/>
        </w:rPr>
        <w:t>成交</w:t>
      </w:r>
      <w:r>
        <w:rPr>
          <w:rFonts w:hint="eastAsia" w:ascii="宋体" w:hAnsi="宋体" w:cs="宋体"/>
          <w:b/>
          <w:bCs/>
          <w:sz w:val="24"/>
        </w:rPr>
        <w:t>供应商：</w:t>
      </w:r>
      <w:r>
        <w:rPr>
          <w:rFonts w:hint="eastAsia" w:ascii="宋体" w:hAnsi="宋体" w:cs="宋体"/>
          <w:b w:val="0"/>
          <w:bCs w:val="0"/>
          <w:sz w:val="24"/>
          <w:lang w:val="en-US" w:eastAsia="zh-CN"/>
        </w:rPr>
        <w:t>1名</w:t>
      </w:r>
      <w:r>
        <w:rPr>
          <w:rFonts w:hint="eastAsia" w:ascii="宋体" w:hAnsi="宋体" w:cs="宋体"/>
          <w:sz w:val="24"/>
        </w:rPr>
        <w:t xml:space="preserve"> </w:t>
      </w:r>
    </w:p>
    <w:p w14:paraId="57E4B955">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宋体" w:hAnsi="宋体" w:cs="宋体"/>
          <w:sz w:val="24"/>
        </w:rPr>
      </w:pPr>
      <w:r>
        <w:rPr>
          <w:rFonts w:hint="eastAsia" w:ascii="宋体" w:hAnsi="宋体" w:cs="宋体"/>
          <w:b/>
          <w:bCs/>
          <w:sz w:val="24"/>
        </w:rPr>
        <w:t>采购内容及要求：</w:t>
      </w:r>
      <w:r>
        <w:rPr>
          <w:rFonts w:hint="eastAsia" w:ascii="宋体" w:hAnsi="宋体" w:cs="宋体"/>
          <w:sz w:val="24"/>
        </w:rPr>
        <w:t>详见第一章</w:t>
      </w:r>
    </w:p>
    <w:p w14:paraId="7CA6E5A4">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sz w:val="24"/>
        </w:rPr>
      </w:pPr>
      <w:r>
        <w:rPr>
          <w:rFonts w:hint="eastAsia" w:ascii="宋体" w:hAnsi="宋体" w:cs="宋体"/>
          <w:b/>
          <w:bCs/>
          <w:sz w:val="24"/>
        </w:rPr>
        <w:t>采购预算：</w:t>
      </w:r>
      <w:r>
        <w:rPr>
          <w:rFonts w:hint="eastAsia" w:ascii="宋体" w:hAnsi="宋体" w:cs="宋体"/>
          <w:sz w:val="24"/>
        </w:rPr>
        <w:t>9.5万元</w:t>
      </w:r>
    </w:p>
    <w:p w14:paraId="29C4B6C5">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sz w:val="24"/>
        </w:rPr>
      </w:pPr>
      <w:r>
        <w:rPr>
          <w:rFonts w:hint="eastAsia" w:ascii="宋体" w:hAnsi="宋体" w:cs="宋体"/>
          <w:b/>
          <w:bCs/>
          <w:sz w:val="24"/>
        </w:rPr>
        <w:t>供应商资格要求：</w:t>
      </w:r>
    </w:p>
    <w:p w14:paraId="7AA47682">
      <w:pPr>
        <w:pStyle w:val="2"/>
        <w:keepNext w:val="0"/>
        <w:keepLines w:val="0"/>
        <w:pageBreakBefore w:val="0"/>
        <w:widowControl w:val="0"/>
        <w:numPr>
          <w:ilvl w:val="0"/>
          <w:numId w:val="2"/>
        </w:numPr>
        <w:tabs>
          <w:tab w:val="left" w:pos="7290"/>
        </w:tabs>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bCs/>
          <w:sz w:val="24"/>
          <w:szCs w:val="32"/>
        </w:rPr>
      </w:pPr>
      <w:r>
        <w:rPr>
          <w:rFonts w:hint="eastAsia" w:ascii="宋体" w:hAnsi="宋体" w:cs="宋体"/>
          <w:bCs/>
          <w:sz w:val="24"/>
          <w:szCs w:val="32"/>
        </w:rPr>
        <w:t>须具备独立法人资格，需提供营业执照、税务登记证、组织机构代码证或三证合一的营业执照（原件及复印件）；</w:t>
      </w:r>
    </w:p>
    <w:p w14:paraId="12635C5B">
      <w:pPr>
        <w:pStyle w:val="2"/>
        <w:keepNext w:val="0"/>
        <w:keepLines w:val="0"/>
        <w:pageBreakBefore w:val="0"/>
        <w:widowControl w:val="0"/>
        <w:tabs>
          <w:tab w:val="left" w:pos="7290"/>
        </w:tabs>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bCs/>
          <w:sz w:val="24"/>
        </w:rPr>
      </w:pPr>
      <w:r>
        <w:rPr>
          <w:rFonts w:hint="eastAsia" w:ascii="宋体" w:hAnsi="宋体" w:cs="宋体"/>
          <w:bCs/>
          <w:sz w:val="24"/>
        </w:rPr>
        <w:t>2、法人授权书原件、法人身份证及被授权人身份证复印件（法人参加的仅需提供法人身份证复印件）；</w:t>
      </w:r>
    </w:p>
    <w:p w14:paraId="08DABDBE">
      <w:pPr>
        <w:pStyle w:val="2"/>
        <w:keepNext w:val="0"/>
        <w:keepLines w:val="0"/>
        <w:pageBreakBefore w:val="0"/>
        <w:widowControl w:val="0"/>
        <w:tabs>
          <w:tab w:val="left" w:pos="7290"/>
        </w:tabs>
        <w:kinsoku/>
        <w:wordWrap/>
        <w:overflowPunct/>
        <w:topLinePunct w:val="0"/>
        <w:autoSpaceDE/>
        <w:autoSpaceDN/>
        <w:bidi w:val="0"/>
        <w:adjustRightInd/>
        <w:snapToGrid/>
        <w:spacing w:after="0" w:line="360" w:lineRule="auto"/>
        <w:ind w:firstLine="480" w:firstLineChars="200"/>
        <w:textAlignment w:val="auto"/>
        <w:rPr>
          <w:rFonts w:hint="eastAsia" w:ascii="宋体" w:hAnsi="宋体" w:cs="宋体"/>
          <w:sz w:val="24"/>
        </w:rPr>
      </w:pPr>
      <w:r>
        <w:rPr>
          <w:rFonts w:hint="eastAsia" w:ascii="宋体" w:hAnsi="宋体" w:cs="宋体"/>
          <w:bCs/>
          <w:sz w:val="24"/>
        </w:rPr>
        <w:t>3、供应商须在“信用中国”网站（www.creditchina.gov.cn）的“信用服务-失信被执行人”进行查询信用记录（以截图打印并加盖单位鲜章为准）；</w:t>
      </w:r>
    </w:p>
    <w:p w14:paraId="18AFE837">
      <w:pPr>
        <w:pStyle w:val="2"/>
        <w:keepNext w:val="0"/>
        <w:keepLines w:val="0"/>
        <w:pageBreakBefore w:val="0"/>
        <w:widowControl w:val="0"/>
        <w:tabs>
          <w:tab w:val="left" w:pos="7290"/>
        </w:tabs>
        <w:kinsoku/>
        <w:wordWrap/>
        <w:overflowPunct/>
        <w:topLinePunct w:val="0"/>
        <w:autoSpaceDE/>
        <w:autoSpaceDN/>
        <w:bidi w:val="0"/>
        <w:adjustRightInd/>
        <w:snapToGrid/>
        <w:spacing w:after="0" w:line="360" w:lineRule="auto"/>
        <w:ind w:firstLine="480" w:firstLineChars="200"/>
        <w:textAlignment w:val="auto"/>
        <w:rPr>
          <w:rFonts w:hint="default" w:eastAsia="宋体"/>
          <w:lang w:val="en-US" w:eastAsia="zh-CN"/>
        </w:rPr>
      </w:pPr>
      <w:r>
        <w:rPr>
          <w:rFonts w:hint="eastAsia" w:ascii="宋体" w:hAnsi="宋体" w:cs="宋体"/>
          <w:bCs/>
          <w:sz w:val="24"/>
        </w:rPr>
        <w:t>4、以上复印件均须加盖单位鲜章（不接受电脑扫描件作为原件资质）。</w:t>
      </w:r>
    </w:p>
    <w:p w14:paraId="0AD2F67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sz w:val="24"/>
        </w:rPr>
      </w:pPr>
      <w:r>
        <w:rPr>
          <w:rFonts w:hint="eastAsia" w:ascii="宋体" w:hAnsi="宋体" w:cs="宋体"/>
          <w:b/>
          <w:bCs/>
          <w:sz w:val="24"/>
        </w:rPr>
        <w:t>七、评定时间及地点</w:t>
      </w:r>
    </w:p>
    <w:p w14:paraId="5A4503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时间：2024年</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26</w:t>
      </w:r>
      <w:r>
        <w:rPr>
          <w:rFonts w:hint="eastAsia" w:ascii="宋体" w:hAnsi="宋体" w:cs="宋体"/>
          <w:color w:val="auto"/>
          <w:sz w:val="24"/>
          <w:highlight w:val="none"/>
        </w:rPr>
        <w:t>日下午14:30（迟到10分钟后被视为自动弃权）</w:t>
      </w:r>
    </w:p>
    <w:p w14:paraId="249C67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highlight w:val="none"/>
        </w:rPr>
      </w:pPr>
      <w:r>
        <w:rPr>
          <w:rFonts w:hint="eastAsia" w:ascii="宋体" w:hAnsi="宋体" w:cs="宋体"/>
          <w:color w:val="auto"/>
          <w:sz w:val="24"/>
          <w:highlight w:val="none"/>
        </w:rPr>
        <w:t>地点：西咸新区沣西新城龙台观路831号住院楼11层1106会议室</w:t>
      </w:r>
    </w:p>
    <w:p w14:paraId="1F4BEFD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sz w:val="24"/>
        </w:rPr>
      </w:pPr>
      <w:r>
        <w:rPr>
          <w:rFonts w:hint="eastAsia" w:ascii="宋体" w:hAnsi="宋体" w:cs="宋体"/>
          <w:b/>
          <w:bCs/>
          <w:sz w:val="24"/>
        </w:rPr>
        <w:t>八、招标咨询电话：</w:t>
      </w:r>
      <w:r>
        <w:rPr>
          <w:rFonts w:hint="eastAsia" w:ascii="宋体" w:hAnsi="宋体" w:cs="宋体"/>
          <w:sz w:val="24"/>
        </w:rPr>
        <w:t>029-33350559（</w:t>
      </w:r>
      <w:r>
        <w:rPr>
          <w:rFonts w:hint="eastAsia" w:ascii="宋体" w:hAnsi="宋体" w:cs="宋体"/>
          <w:color w:val="000000" w:themeColor="text1"/>
          <w:sz w:val="24"/>
          <w:lang w:val="en-US" w:eastAsia="zh-CN"/>
          <w14:textFill>
            <w14:solidFill>
              <w14:schemeClr w14:val="tx1"/>
            </w14:solidFill>
          </w14:textFill>
        </w:rPr>
        <w:t>贺</w:t>
      </w:r>
      <w:r>
        <w:rPr>
          <w:rFonts w:hint="eastAsia" w:ascii="宋体" w:hAnsi="宋体" w:cs="宋体"/>
          <w:color w:val="000000" w:themeColor="text1"/>
          <w:sz w:val="24"/>
          <w14:textFill>
            <w14:solidFill>
              <w14:schemeClr w14:val="tx1"/>
            </w14:solidFill>
          </w14:textFill>
        </w:rPr>
        <w:t>老师）</w:t>
      </w:r>
    </w:p>
    <w:p w14:paraId="3F3C4DB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sz w:val="24"/>
        </w:rPr>
      </w:pPr>
      <w:r>
        <w:rPr>
          <w:rFonts w:hint="eastAsia" w:ascii="宋体" w:hAnsi="宋体" w:cs="宋体"/>
          <w:b/>
          <w:bCs/>
          <w:sz w:val="24"/>
        </w:rPr>
        <w:t>九、业务咨询电话：</w:t>
      </w:r>
      <w:r>
        <w:rPr>
          <w:rFonts w:hint="eastAsia" w:ascii="宋体" w:hAnsi="宋体" w:cs="宋体"/>
          <w:sz w:val="24"/>
        </w:rPr>
        <w:t>029-33350309（曹老师）</w:t>
      </w:r>
    </w:p>
    <w:p w14:paraId="077F2E92">
      <w:pPr>
        <w:spacing w:line="360" w:lineRule="auto"/>
        <w:ind w:firstLine="480" w:firstLineChars="200"/>
        <w:rPr>
          <w:rFonts w:hint="eastAsia" w:ascii="宋体" w:hAnsi="宋体" w:cs="宋体"/>
          <w:sz w:val="24"/>
        </w:rPr>
      </w:pPr>
    </w:p>
    <w:p w14:paraId="352A4186">
      <w:pPr>
        <w:spacing w:line="360" w:lineRule="auto"/>
        <w:ind w:firstLine="480" w:firstLineChars="200"/>
        <w:rPr>
          <w:rFonts w:hint="eastAsia" w:ascii="宋体" w:hAnsi="宋体" w:cs="宋体"/>
          <w:sz w:val="24"/>
        </w:rPr>
      </w:pPr>
    </w:p>
    <w:p w14:paraId="31208B25">
      <w:pPr>
        <w:spacing w:line="360" w:lineRule="auto"/>
        <w:ind w:firstLine="480" w:firstLineChars="200"/>
        <w:rPr>
          <w:rFonts w:hint="eastAsia" w:ascii="宋体" w:hAnsi="宋体" w:cs="宋体"/>
          <w:sz w:val="24"/>
        </w:rPr>
      </w:pPr>
      <w:bookmarkStart w:id="3" w:name="_GoBack"/>
      <w:bookmarkEnd w:id="3"/>
    </w:p>
    <w:p w14:paraId="4886DFA2">
      <w:pPr>
        <w:spacing w:line="360" w:lineRule="auto"/>
        <w:ind w:firstLine="480" w:firstLineChars="200"/>
        <w:rPr>
          <w:rFonts w:hint="eastAsia" w:ascii="宋体" w:hAnsi="宋体" w:cs="宋体"/>
          <w:sz w:val="24"/>
        </w:rPr>
      </w:pPr>
    </w:p>
    <w:p w14:paraId="793E37D8">
      <w:pPr>
        <w:spacing w:line="360" w:lineRule="auto"/>
        <w:ind w:firstLine="480" w:firstLineChars="200"/>
        <w:rPr>
          <w:rFonts w:hint="eastAsia" w:ascii="宋体" w:hAnsi="宋体" w:cs="宋体"/>
          <w:sz w:val="24"/>
        </w:rPr>
      </w:pPr>
    </w:p>
    <w:p w14:paraId="62F14C2F">
      <w:pPr>
        <w:spacing w:line="360" w:lineRule="auto"/>
        <w:ind w:firstLine="480" w:firstLineChars="200"/>
        <w:rPr>
          <w:rFonts w:hint="eastAsia" w:ascii="宋体" w:hAnsi="宋体" w:cs="宋体"/>
          <w:sz w:val="24"/>
        </w:rPr>
      </w:pPr>
    </w:p>
    <w:p w14:paraId="6E5C5C78">
      <w:pPr>
        <w:spacing w:line="360" w:lineRule="auto"/>
        <w:rPr>
          <w:rFonts w:hint="eastAsia" w:ascii="宋体" w:hAnsi="宋体" w:cs="宋体"/>
          <w:sz w:val="24"/>
        </w:rPr>
      </w:pPr>
    </w:p>
    <w:p w14:paraId="6854615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cs="宋体"/>
          <w:b/>
          <w:bCs/>
          <w:sz w:val="32"/>
          <w:szCs w:val="32"/>
        </w:rPr>
      </w:pPr>
      <w:r>
        <w:rPr>
          <w:rFonts w:hint="eastAsia" w:ascii="宋体" w:hAnsi="宋体" w:cs="宋体"/>
          <w:b/>
          <w:bCs/>
          <w:sz w:val="32"/>
          <w:szCs w:val="32"/>
        </w:rPr>
        <w:t>第一章  采购内容及</w:t>
      </w:r>
      <w:bookmarkEnd w:id="0"/>
      <w:r>
        <w:rPr>
          <w:rFonts w:hint="eastAsia" w:ascii="宋体" w:hAnsi="宋体" w:cs="宋体"/>
          <w:b/>
          <w:bCs/>
          <w:sz w:val="32"/>
          <w:szCs w:val="32"/>
        </w:rPr>
        <w:t>要求</w:t>
      </w:r>
    </w:p>
    <w:p w14:paraId="082799F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sz w:val="24"/>
        </w:rPr>
      </w:pPr>
      <w:r>
        <w:rPr>
          <w:rFonts w:hint="eastAsia" w:ascii="宋体" w:hAnsi="宋体" w:cs="宋体"/>
          <w:b/>
          <w:bCs/>
          <w:sz w:val="24"/>
        </w:rPr>
        <w:t>一、项目概况</w:t>
      </w:r>
    </w:p>
    <w:p w14:paraId="3AFE1FDA">
      <w:pPr>
        <w:pStyle w:val="11"/>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lang w:val="en-US" w:eastAsia="zh-CN" w:bidi="ar-SA"/>
        </w:rPr>
        <w:t>按照国家疾控中心安排，我院为咸阳市首批国家传染病前置软件试点单位，现已完成前置软件服务器部署、前置软件部署。尚需要与HIS系统、Lis系统、</w:t>
      </w:r>
      <w:r>
        <w:rPr>
          <w:rFonts w:hint="eastAsia" w:ascii="宋体" w:hAnsi="宋体" w:eastAsia="宋体" w:cs="宋体"/>
          <w:kern w:val="2"/>
          <w:sz w:val="24"/>
          <w:szCs w:val="24"/>
          <w:highlight w:val="none"/>
          <w:lang w:val="en-US" w:eastAsia="zh-CN" w:bidi="ar-SA"/>
        </w:rPr>
        <w:t>Pacs系统进行接口对接，进行数据提取。</w:t>
      </w:r>
    </w:p>
    <w:p w14:paraId="40B21B0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sz w:val="24"/>
          <w:highlight w:val="none"/>
        </w:rPr>
      </w:pPr>
      <w:r>
        <w:rPr>
          <w:rFonts w:hint="eastAsia" w:ascii="宋体" w:hAnsi="宋体" w:cs="宋体"/>
          <w:b/>
          <w:bCs/>
          <w:sz w:val="24"/>
          <w:highlight w:val="none"/>
        </w:rPr>
        <w:t>二、采购需求清单：</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80"/>
        <w:gridCol w:w="2195"/>
        <w:gridCol w:w="2244"/>
      </w:tblGrid>
      <w:tr w14:paraId="4E019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4" w:type="pct"/>
            <w:shd w:val="clear" w:color="auto" w:fill="auto"/>
          </w:tcPr>
          <w:p w14:paraId="0BC416C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4"/>
                <w:highlight w:val="none"/>
              </w:rPr>
            </w:pPr>
            <w:r>
              <w:rPr>
                <w:rFonts w:hint="eastAsia" w:ascii="宋体" w:hAnsi="宋体" w:cs="宋体"/>
                <w:sz w:val="24"/>
                <w:highlight w:val="none"/>
              </w:rPr>
              <w:t>名称</w:t>
            </w:r>
          </w:p>
        </w:tc>
        <w:tc>
          <w:tcPr>
            <w:tcW w:w="1288" w:type="pct"/>
            <w:shd w:val="clear" w:color="auto" w:fill="auto"/>
          </w:tcPr>
          <w:p w14:paraId="7CAB1A2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4"/>
                <w:highlight w:val="none"/>
              </w:rPr>
            </w:pPr>
            <w:r>
              <w:rPr>
                <w:rFonts w:hint="eastAsia" w:ascii="宋体" w:hAnsi="宋体" w:cs="宋体"/>
                <w:sz w:val="24"/>
                <w:highlight w:val="none"/>
              </w:rPr>
              <w:t>单位</w:t>
            </w:r>
          </w:p>
        </w:tc>
        <w:tc>
          <w:tcPr>
            <w:tcW w:w="1316" w:type="pct"/>
            <w:shd w:val="clear" w:color="auto" w:fill="auto"/>
          </w:tcPr>
          <w:p w14:paraId="4B170AA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4"/>
                <w:highlight w:val="none"/>
              </w:rPr>
            </w:pPr>
            <w:r>
              <w:rPr>
                <w:rFonts w:hint="eastAsia" w:ascii="宋体" w:hAnsi="宋体" w:cs="宋体"/>
                <w:sz w:val="24"/>
                <w:highlight w:val="none"/>
              </w:rPr>
              <w:t>数量</w:t>
            </w:r>
          </w:p>
        </w:tc>
      </w:tr>
      <w:tr w14:paraId="4B324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4" w:type="pct"/>
            <w:shd w:val="clear" w:color="auto" w:fill="auto"/>
          </w:tcPr>
          <w:p w14:paraId="2F1E5D4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4"/>
                <w:highlight w:val="none"/>
              </w:rPr>
            </w:pPr>
            <w:r>
              <w:rPr>
                <w:rFonts w:hint="eastAsia" w:ascii="宋体" w:hAnsi="宋体" w:cs="宋体"/>
                <w:sz w:val="24"/>
                <w:highlight w:val="none"/>
              </w:rPr>
              <w:t>国家传染病前置软件接口</w:t>
            </w:r>
          </w:p>
        </w:tc>
        <w:tc>
          <w:tcPr>
            <w:tcW w:w="1288" w:type="pct"/>
            <w:shd w:val="clear" w:color="auto" w:fill="auto"/>
          </w:tcPr>
          <w:p w14:paraId="3AED04F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4"/>
                <w:highlight w:val="none"/>
              </w:rPr>
            </w:pPr>
            <w:r>
              <w:rPr>
                <w:rFonts w:hint="eastAsia" w:ascii="宋体" w:hAnsi="宋体" w:cs="宋体"/>
                <w:sz w:val="24"/>
                <w:highlight w:val="none"/>
              </w:rPr>
              <w:t>套</w:t>
            </w:r>
          </w:p>
        </w:tc>
        <w:tc>
          <w:tcPr>
            <w:tcW w:w="1316" w:type="pct"/>
            <w:shd w:val="clear" w:color="auto" w:fill="auto"/>
          </w:tcPr>
          <w:p w14:paraId="31E577D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4"/>
                <w:highlight w:val="none"/>
              </w:rPr>
            </w:pPr>
            <w:r>
              <w:rPr>
                <w:rFonts w:hint="eastAsia" w:ascii="宋体" w:hAnsi="宋体" w:cs="宋体"/>
                <w:sz w:val="24"/>
                <w:highlight w:val="none"/>
              </w:rPr>
              <w:t>1</w:t>
            </w:r>
          </w:p>
        </w:tc>
      </w:tr>
    </w:tbl>
    <w:p w14:paraId="6261BB24">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宋体"/>
          <w:b/>
          <w:bCs/>
          <w:sz w:val="24"/>
          <w:highlight w:val="none"/>
        </w:rPr>
      </w:pPr>
      <w:r>
        <w:rPr>
          <w:rFonts w:hint="eastAsia" w:ascii="宋体" w:hAnsi="宋体" w:cs="宋体"/>
          <w:b/>
          <w:bCs/>
          <w:sz w:val="24"/>
          <w:highlight w:val="none"/>
        </w:rPr>
        <w:t>产品技术要求：</w:t>
      </w:r>
    </w:p>
    <w:p w14:paraId="5A552F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highlight w:val="none"/>
        </w:rPr>
      </w:pPr>
      <w:r>
        <w:rPr>
          <w:rFonts w:ascii="宋体" w:hAnsi="宋体" w:cs="宋体"/>
          <w:sz w:val="24"/>
          <w:highlight w:val="none"/>
        </w:rPr>
        <w:t>‌接口设计规范‌：</w:t>
      </w:r>
      <w:r>
        <w:rPr>
          <w:rFonts w:hint="eastAsia" w:ascii="宋体" w:hAnsi="宋体" w:cs="宋体"/>
          <w:sz w:val="24"/>
          <w:highlight w:val="none"/>
        </w:rPr>
        <w:t>按照国家传染病前置软件接口进行对接，</w:t>
      </w:r>
      <w:r>
        <w:rPr>
          <w:rFonts w:ascii="宋体" w:hAnsi="宋体" w:cs="宋体"/>
          <w:sz w:val="24"/>
          <w:highlight w:val="none"/>
        </w:rPr>
        <w:t>需要遵循</w:t>
      </w:r>
      <w:r>
        <w:rPr>
          <w:rFonts w:hint="eastAsia" w:ascii="宋体" w:hAnsi="宋体" w:cs="宋体"/>
          <w:sz w:val="24"/>
          <w:highlight w:val="none"/>
        </w:rPr>
        <w:t>国家传染病前置软件接口</w:t>
      </w:r>
      <w:r>
        <w:rPr>
          <w:rFonts w:ascii="宋体" w:hAnsi="宋体" w:cs="宋体"/>
          <w:sz w:val="24"/>
          <w:highlight w:val="none"/>
        </w:rPr>
        <w:t>规范，确保</w:t>
      </w:r>
      <w:r>
        <w:rPr>
          <w:rFonts w:hint="eastAsia" w:ascii="宋体" w:hAnsi="宋体" w:cs="宋体"/>
          <w:sz w:val="24"/>
          <w:highlight w:val="none"/>
        </w:rPr>
        <w:t>前置软件能够</w:t>
      </w:r>
      <w:r>
        <w:rPr>
          <w:rFonts w:ascii="宋体" w:hAnsi="宋体" w:cs="宋体"/>
          <w:sz w:val="24"/>
          <w:highlight w:val="none"/>
        </w:rPr>
        <w:t>的稳定</w:t>
      </w:r>
      <w:r>
        <w:rPr>
          <w:rFonts w:hint="eastAsia" w:ascii="宋体" w:hAnsi="宋体" w:cs="宋体"/>
          <w:sz w:val="24"/>
          <w:highlight w:val="none"/>
        </w:rPr>
        <w:t>从医院系统中获取数据</w:t>
      </w:r>
      <w:r>
        <w:rPr>
          <w:rFonts w:ascii="宋体" w:hAnsi="宋体" w:cs="宋体"/>
          <w:sz w:val="24"/>
          <w:highlight w:val="none"/>
        </w:rPr>
        <w:t>。例如，接口禁止方法重载，接口注释需要清晰表达使用方法、同步或异步、服务内容、参数校验规则、返回值信息等‌。</w:t>
      </w:r>
    </w:p>
    <w:p w14:paraId="72DE0041">
      <w:pPr>
        <w:widowControl/>
        <w:spacing w:line="240" w:lineRule="auto"/>
        <w:jc w:val="left"/>
      </w:pPr>
      <w:r>
        <w:br w:type="page"/>
      </w:r>
    </w:p>
    <w:p w14:paraId="73E628C0">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 xml:space="preserve">第二章  </w:t>
      </w:r>
      <w:r>
        <w:rPr>
          <w:rFonts w:hint="eastAsia" w:ascii="宋体" w:hAnsi="宋体" w:cs="宋体"/>
          <w:b/>
          <w:kern w:val="2"/>
          <w:sz w:val="32"/>
          <w:szCs w:val="32"/>
          <w:highlight w:val="none"/>
          <w:lang w:val="en-US" w:eastAsia="zh-CN" w:bidi="ar-SA"/>
        </w:rPr>
        <w:t>供应商</w:t>
      </w:r>
      <w:r>
        <w:rPr>
          <w:rFonts w:hint="eastAsia" w:ascii="宋体" w:hAnsi="宋体" w:eastAsia="宋体" w:cs="宋体"/>
          <w:b/>
          <w:kern w:val="2"/>
          <w:sz w:val="32"/>
          <w:szCs w:val="32"/>
          <w:highlight w:val="none"/>
          <w:lang w:val="en-US" w:eastAsia="zh-CN" w:bidi="ar-SA"/>
        </w:rPr>
        <w:t>须知</w:t>
      </w:r>
    </w:p>
    <w:p w14:paraId="3FA871B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20"/>
          <w:rFonts w:hint="eastAsia" w:ascii="宋体" w:hAnsi="宋体" w:eastAsia="宋体" w:cs="宋体"/>
          <w:bCs/>
          <w:sz w:val="24"/>
          <w:szCs w:val="24"/>
          <w:highlight w:val="none"/>
        </w:rPr>
      </w:pPr>
      <w:r>
        <w:rPr>
          <w:rStyle w:val="20"/>
          <w:rFonts w:hint="eastAsia" w:ascii="宋体" w:hAnsi="宋体" w:eastAsia="宋体" w:cs="宋体"/>
          <w:bCs/>
          <w:sz w:val="24"/>
          <w:szCs w:val="24"/>
          <w:highlight w:val="none"/>
        </w:rPr>
        <w:t>1、</w:t>
      </w:r>
      <w:r>
        <w:rPr>
          <w:rStyle w:val="20"/>
          <w:rFonts w:hint="eastAsia" w:ascii="宋体" w:hAnsi="宋体" w:cs="宋体"/>
          <w:bCs/>
          <w:sz w:val="24"/>
          <w:szCs w:val="24"/>
          <w:highlight w:val="none"/>
          <w:lang w:eastAsia="zh-CN"/>
        </w:rPr>
        <w:t>供应商</w:t>
      </w:r>
      <w:r>
        <w:rPr>
          <w:rStyle w:val="20"/>
          <w:rFonts w:hint="eastAsia" w:ascii="宋体" w:hAnsi="宋体" w:eastAsia="宋体" w:cs="宋体"/>
          <w:bCs/>
          <w:sz w:val="24"/>
          <w:szCs w:val="24"/>
          <w:highlight w:val="none"/>
        </w:rPr>
        <w:t>应认真浏览</w:t>
      </w:r>
      <w:r>
        <w:rPr>
          <w:rStyle w:val="20"/>
          <w:rFonts w:hint="eastAsia" w:ascii="宋体" w:hAnsi="宋体" w:eastAsia="宋体" w:cs="宋体"/>
          <w:bCs/>
          <w:sz w:val="24"/>
          <w:szCs w:val="24"/>
          <w:highlight w:val="none"/>
          <w:lang w:val="en-US" w:eastAsia="zh-CN"/>
        </w:rPr>
        <w:t>招标</w:t>
      </w:r>
      <w:r>
        <w:rPr>
          <w:rStyle w:val="20"/>
          <w:rFonts w:hint="eastAsia" w:ascii="宋体" w:hAnsi="宋体" w:eastAsia="宋体" w:cs="宋体"/>
          <w:bCs/>
          <w:sz w:val="24"/>
          <w:szCs w:val="24"/>
          <w:highlight w:val="none"/>
        </w:rPr>
        <w:t>公告及</w:t>
      </w:r>
      <w:r>
        <w:rPr>
          <w:rStyle w:val="20"/>
          <w:rFonts w:hint="eastAsia" w:ascii="宋体" w:hAnsi="宋体" w:cs="宋体"/>
          <w:bCs/>
          <w:sz w:val="24"/>
          <w:szCs w:val="24"/>
          <w:highlight w:val="none"/>
          <w:lang w:eastAsia="zh-CN"/>
        </w:rPr>
        <w:t>磋商文件</w:t>
      </w:r>
      <w:r>
        <w:rPr>
          <w:rStyle w:val="20"/>
          <w:rFonts w:hint="eastAsia" w:ascii="宋体" w:hAnsi="宋体" w:eastAsia="宋体" w:cs="宋体"/>
          <w:bCs/>
          <w:sz w:val="24"/>
          <w:szCs w:val="24"/>
          <w:highlight w:val="none"/>
        </w:rPr>
        <w:t>，将</w:t>
      </w:r>
      <w:r>
        <w:rPr>
          <w:rStyle w:val="20"/>
          <w:rFonts w:hint="eastAsia" w:ascii="宋体" w:hAnsi="宋体" w:cs="宋体"/>
          <w:bCs/>
          <w:sz w:val="24"/>
          <w:szCs w:val="24"/>
          <w:highlight w:val="none"/>
          <w:lang w:eastAsia="zh-CN"/>
        </w:rPr>
        <w:t>磋商文件</w:t>
      </w:r>
      <w:r>
        <w:rPr>
          <w:rStyle w:val="20"/>
          <w:rFonts w:hint="eastAsia" w:ascii="宋体" w:hAnsi="宋体" w:eastAsia="宋体" w:cs="宋体"/>
          <w:bCs/>
          <w:sz w:val="24"/>
          <w:szCs w:val="24"/>
          <w:highlight w:val="none"/>
        </w:rPr>
        <w:t>中的资格要求与</w:t>
      </w:r>
      <w:r>
        <w:rPr>
          <w:rStyle w:val="20"/>
          <w:rFonts w:hint="eastAsia" w:ascii="宋体" w:hAnsi="宋体" w:cs="宋体"/>
          <w:bCs/>
          <w:sz w:val="24"/>
          <w:szCs w:val="24"/>
          <w:highlight w:val="none"/>
          <w:lang w:eastAsia="zh-CN"/>
        </w:rPr>
        <w:t>供应商</w:t>
      </w:r>
      <w:r>
        <w:rPr>
          <w:rStyle w:val="20"/>
          <w:rFonts w:hint="eastAsia" w:ascii="宋体" w:hAnsi="宋体" w:eastAsia="宋体" w:cs="宋体"/>
          <w:bCs/>
          <w:sz w:val="24"/>
          <w:szCs w:val="24"/>
          <w:highlight w:val="none"/>
        </w:rPr>
        <w:t>已取得的资格文件进行对照，满足资格文件要求的，方可参与。</w:t>
      </w:r>
    </w:p>
    <w:p w14:paraId="55FA2C07">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20"/>
          <w:rFonts w:hint="eastAsia" w:ascii="宋体" w:hAnsi="宋体" w:eastAsia="宋体" w:cs="宋体"/>
          <w:bCs/>
          <w:sz w:val="24"/>
          <w:szCs w:val="24"/>
          <w:highlight w:val="none"/>
        </w:rPr>
      </w:pPr>
      <w:r>
        <w:rPr>
          <w:rStyle w:val="20"/>
          <w:rFonts w:hint="eastAsia" w:ascii="宋体" w:hAnsi="宋体" w:eastAsia="宋体" w:cs="宋体"/>
          <w:bCs/>
          <w:sz w:val="24"/>
          <w:szCs w:val="24"/>
          <w:highlight w:val="none"/>
        </w:rPr>
        <w:t>2、报名时不</w:t>
      </w:r>
      <w:r>
        <w:rPr>
          <w:rStyle w:val="20"/>
          <w:rFonts w:hint="eastAsia" w:ascii="宋体" w:hAnsi="宋体" w:eastAsia="宋体" w:cs="宋体"/>
          <w:bCs/>
          <w:sz w:val="24"/>
          <w:szCs w:val="24"/>
          <w:highlight w:val="none"/>
          <w:lang w:val="en-US" w:eastAsia="zh-CN"/>
        </w:rPr>
        <w:t>得</w:t>
      </w:r>
      <w:r>
        <w:rPr>
          <w:rStyle w:val="20"/>
          <w:rFonts w:hint="eastAsia" w:ascii="宋体" w:hAnsi="宋体" w:eastAsia="宋体" w:cs="宋体"/>
          <w:bCs/>
          <w:sz w:val="24"/>
          <w:szCs w:val="24"/>
          <w:highlight w:val="none"/>
        </w:rPr>
        <w:t>将失效的证书复印件装订在资格审查资料中。</w:t>
      </w:r>
    </w:p>
    <w:p w14:paraId="2CAF73FB">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20"/>
          <w:rFonts w:hint="eastAsia" w:ascii="宋体" w:hAnsi="宋体" w:eastAsia="宋体" w:cs="宋体"/>
          <w:bCs/>
          <w:sz w:val="24"/>
          <w:szCs w:val="24"/>
          <w:highlight w:val="none"/>
          <w:lang w:eastAsia="zh-CN"/>
        </w:rPr>
      </w:pPr>
      <w:r>
        <w:rPr>
          <w:rStyle w:val="20"/>
          <w:rFonts w:hint="eastAsia" w:ascii="宋体" w:hAnsi="宋体" w:eastAsia="宋体" w:cs="宋体"/>
          <w:bCs/>
          <w:sz w:val="24"/>
          <w:szCs w:val="24"/>
          <w:highlight w:val="none"/>
        </w:rPr>
        <w:t>3、</w:t>
      </w:r>
      <w:r>
        <w:rPr>
          <w:rStyle w:val="20"/>
          <w:rFonts w:hint="eastAsia" w:ascii="宋体" w:hAnsi="宋体" w:cs="宋体"/>
          <w:bCs/>
          <w:sz w:val="24"/>
          <w:szCs w:val="24"/>
          <w:highlight w:val="none"/>
          <w:lang w:eastAsia="zh-CN"/>
        </w:rPr>
        <w:t>供应商</w:t>
      </w:r>
      <w:r>
        <w:rPr>
          <w:rStyle w:val="20"/>
          <w:rFonts w:hint="eastAsia" w:ascii="宋体" w:hAnsi="宋体" w:eastAsia="宋体" w:cs="宋体"/>
          <w:bCs/>
          <w:sz w:val="24"/>
          <w:szCs w:val="24"/>
          <w:highlight w:val="none"/>
        </w:rPr>
        <w:t>在编制资格审查</w:t>
      </w:r>
      <w:r>
        <w:rPr>
          <w:rStyle w:val="20"/>
          <w:rFonts w:hint="eastAsia" w:ascii="宋体" w:hAnsi="宋体" w:eastAsia="宋体" w:cs="宋体"/>
          <w:bCs/>
          <w:sz w:val="24"/>
          <w:szCs w:val="24"/>
          <w:highlight w:val="none"/>
          <w:lang w:val="en-US" w:eastAsia="zh-CN"/>
        </w:rPr>
        <w:t>文件</w:t>
      </w:r>
      <w:r>
        <w:rPr>
          <w:rStyle w:val="20"/>
          <w:rFonts w:hint="eastAsia" w:ascii="宋体" w:hAnsi="宋体" w:eastAsia="宋体" w:cs="宋体"/>
          <w:bCs/>
          <w:sz w:val="24"/>
          <w:szCs w:val="24"/>
          <w:highlight w:val="none"/>
        </w:rPr>
        <w:t>时，应按照</w:t>
      </w:r>
      <w:r>
        <w:rPr>
          <w:rStyle w:val="20"/>
          <w:rFonts w:hint="eastAsia" w:ascii="宋体" w:hAnsi="宋体" w:cs="宋体"/>
          <w:bCs/>
          <w:sz w:val="24"/>
          <w:szCs w:val="24"/>
          <w:highlight w:val="none"/>
          <w:lang w:eastAsia="zh-CN"/>
        </w:rPr>
        <w:t>磋商文件</w:t>
      </w:r>
      <w:r>
        <w:rPr>
          <w:rStyle w:val="20"/>
          <w:rFonts w:hint="eastAsia" w:ascii="宋体" w:hAnsi="宋体" w:eastAsia="宋体" w:cs="宋体"/>
          <w:bCs/>
          <w:sz w:val="24"/>
          <w:szCs w:val="24"/>
          <w:highlight w:val="none"/>
        </w:rPr>
        <w:t>中要求的提供，不</w:t>
      </w:r>
      <w:r>
        <w:rPr>
          <w:rStyle w:val="20"/>
          <w:rFonts w:hint="eastAsia" w:ascii="宋体" w:hAnsi="宋体" w:eastAsia="宋体" w:cs="宋体"/>
          <w:bCs/>
          <w:sz w:val="24"/>
          <w:szCs w:val="24"/>
          <w:highlight w:val="none"/>
          <w:lang w:val="en-US" w:eastAsia="zh-CN"/>
        </w:rPr>
        <w:t>得</w:t>
      </w:r>
      <w:r>
        <w:rPr>
          <w:rStyle w:val="20"/>
          <w:rFonts w:hint="eastAsia" w:ascii="宋体" w:hAnsi="宋体" w:eastAsia="宋体" w:cs="宋体"/>
          <w:bCs/>
          <w:sz w:val="24"/>
          <w:szCs w:val="24"/>
          <w:highlight w:val="none"/>
        </w:rPr>
        <w:t>遗漏，也不要人为增加</w:t>
      </w:r>
      <w:r>
        <w:rPr>
          <w:rStyle w:val="20"/>
          <w:rFonts w:hint="eastAsia" w:ascii="宋体" w:hAnsi="宋体" w:eastAsia="宋体" w:cs="宋体"/>
          <w:bCs/>
          <w:sz w:val="24"/>
          <w:szCs w:val="24"/>
          <w:highlight w:val="none"/>
          <w:lang w:eastAsia="zh-CN"/>
        </w:rPr>
        <w:t>。</w:t>
      </w:r>
    </w:p>
    <w:p w14:paraId="453C47AC">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20"/>
          <w:rFonts w:hint="eastAsia" w:ascii="宋体" w:hAnsi="宋体" w:eastAsia="宋体" w:cs="宋体"/>
          <w:bCs/>
          <w:sz w:val="24"/>
          <w:szCs w:val="24"/>
          <w:highlight w:val="none"/>
        </w:rPr>
      </w:pPr>
      <w:r>
        <w:rPr>
          <w:rStyle w:val="20"/>
          <w:rFonts w:hint="eastAsia" w:ascii="宋体" w:hAnsi="宋体" w:eastAsia="宋体" w:cs="宋体"/>
          <w:bCs/>
          <w:sz w:val="24"/>
          <w:szCs w:val="24"/>
          <w:highlight w:val="none"/>
        </w:rPr>
        <w:t>4、</w:t>
      </w:r>
      <w:r>
        <w:rPr>
          <w:rStyle w:val="20"/>
          <w:rFonts w:hint="eastAsia" w:ascii="宋体" w:hAnsi="宋体" w:cs="宋体"/>
          <w:bCs/>
          <w:sz w:val="24"/>
          <w:szCs w:val="24"/>
          <w:highlight w:val="none"/>
          <w:lang w:eastAsia="zh-CN"/>
        </w:rPr>
        <w:t>响应文件</w:t>
      </w:r>
      <w:r>
        <w:rPr>
          <w:rStyle w:val="20"/>
          <w:rFonts w:hint="eastAsia" w:ascii="宋体" w:hAnsi="宋体" w:eastAsia="宋体" w:cs="宋体"/>
          <w:bCs/>
          <w:sz w:val="24"/>
          <w:szCs w:val="24"/>
          <w:highlight w:val="none"/>
        </w:rPr>
        <w:t>应对</w:t>
      </w:r>
      <w:r>
        <w:rPr>
          <w:rStyle w:val="20"/>
          <w:rFonts w:hint="eastAsia" w:ascii="宋体" w:hAnsi="宋体" w:cs="宋体"/>
          <w:bCs/>
          <w:sz w:val="24"/>
          <w:szCs w:val="24"/>
          <w:highlight w:val="none"/>
          <w:lang w:eastAsia="zh-CN"/>
        </w:rPr>
        <w:t>磋商文件</w:t>
      </w:r>
      <w:r>
        <w:rPr>
          <w:rStyle w:val="20"/>
          <w:rFonts w:hint="eastAsia" w:ascii="宋体" w:hAnsi="宋体" w:eastAsia="宋体" w:cs="宋体"/>
          <w:bCs/>
          <w:sz w:val="24"/>
          <w:szCs w:val="24"/>
          <w:highlight w:val="none"/>
        </w:rPr>
        <w:t>的要求做出实质响应</w:t>
      </w:r>
      <w:r>
        <w:rPr>
          <w:rStyle w:val="20"/>
          <w:rFonts w:hint="eastAsia" w:ascii="宋体" w:hAnsi="宋体" w:eastAsia="宋体" w:cs="宋体"/>
          <w:bCs/>
          <w:sz w:val="24"/>
          <w:szCs w:val="24"/>
          <w:highlight w:val="none"/>
          <w:lang w:eastAsia="zh-CN"/>
        </w:rPr>
        <w:t>，</w:t>
      </w:r>
      <w:r>
        <w:rPr>
          <w:rStyle w:val="20"/>
          <w:rFonts w:hint="eastAsia" w:ascii="宋体" w:hAnsi="宋体" w:eastAsia="宋体" w:cs="宋体"/>
          <w:bCs/>
          <w:sz w:val="24"/>
          <w:szCs w:val="24"/>
          <w:highlight w:val="none"/>
        </w:rPr>
        <w:t>符合</w:t>
      </w:r>
      <w:r>
        <w:rPr>
          <w:rStyle w:val="20"/>
          <w:rFonts w:hint="eastAsia" w:ascii="宋体" w:hAnsi="宋体" w:cs="宋体"/>
          <w:bCs/>
          <w:sz w:val="24"/>
          <w:szCs w:val="24"/>
          <w:highlight w:val="none"/>
          <w:lang w:eastAsia="zh-CN"/>
        </w:rPr>
        <w:t>磋商文件</w:t>
      </w:r>
      <w:r>
        <w:rPr>
          <w:rStyle w:val="20"/>
          <w:rFonts w:hint="eastAsia" w:ascii="宋体" w:hAnsi="宋体" w:eastAsia="宋体" w:cs="宋体"/>
          <w:bCs/>
          <w:sz w:val="24"/>
          <w:szCs w:val="24"/>
          <w:highlight w:val="none"/>
        </w:rPr>
        <w:t>的所有条款、条件和规定且无</w:t>
      </w:r>
      <w:r>
        <w:rPr>
          <w:rStyle w:val="20"/>
          <w:rFonts w:hint="eastAsia" w:ascii="宋体" w:hAnsi="宋体" w:eastAsia="宋体" w:cs="宋体"/>
          <w:bCs/>
          <w:sz w:val="24"/>
          <w:szCs w:val="24"/>
          <w:highlight w:val="none"/>
          <w:lang w:val="en-US" w:eastAsia="zh-CN"/>
        </w:rPr>
        <w:t>负</w:t>
      </w:r>
      <w:r>
        <w:rPr>
          <w:rStyle w:val="20"/>
          <w:rFonts w:hint="eastAsia" w:ascii="宋体" w:hAnsi="宋体" w:eastAsia="宋体" w:cs="宋体"/>
          <w:bCs/>
          <w:sz w:val="24"/>
          <w:szCs w:val="24"/>
          <w:highlight w:val="none"/>
        </w:rPr>
        <w:t>偏离。</w:t>
      </w:r>
    </w:p>
    <w:p w14:paraId="33476D38">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20"/>
          <w:rFonts w:hint="eastAsia" w:ascii="宋体" w:hAnsi="宋体" w:eastAsia="宋体" w:cs="宋体"/>
          <w:bCs/>
          <w:sz w:val="24"/>
          <w:szCs w:val="24"/>
          <w:highlight w:val="none"/>
        </w:rPr>
      </w:pPr>
      <w:r>
        <w:rPr>
          <w:rStyle w:val="20"/>
          <w:rFonts w:hint="eastAsia" w:ascii="宋体" w:hAnsi="宋体" w:eastAsia="宋体" w:cs="宋体"/>
          <w:bCs/>
          <w:sz w:val="24"/>
          <w:szCs w:val="24"/>
          <w:highlight w:val="none"/>
        </w:rPr>
        <w:t>5、</w:t>
      </w:r>
      <w:r>
        <w:rPr>
          <w:rStyle w:val="20"/>
          <w:rFonts w:hint="eastAsia" w:ascii="宋体" w:hAnsi="宋体" w:cs="宋体"/>
          <w:bCs/>
          <w:sz w:val="24"/>
          <w:szCs w:val="24"/>
          <w:highlight w:val="none"/>
          <w:lang w:eastAsia="zh-CN"/>
        </w:rPr>
        <w:t>响应文件</w:t>
      </w:r>
      <w:r>
        <w:rPr>
          <w:rStyle w:val="20"/>
          <w:rFonts w:hint="eastAsia" w:ascii="宋体" w:hAnsi="宋体" w:eastAsia="宋体" w:cs="宋体"/>
          <w:bCs/>
          <w:sz w:val="24"/>
          <w:szCs w:val="24"/>
          <w:highlight w:val="none"/>
        </w:rPr>
        <w:t>中有近三年业绩证明，尽量提供在陕的销售</w:t>
      </w:r>
      <w:r>
        <w:rPr>
          <w:rStyle w:val="20"/>
          <w:rFonts w:hint="eastAsia" w:ascii="宋体" w:hAnsi="宋体" w:eastAsia="宋体" w:cs="宋体"/>
          <w:bCs/>
          <w:sz w:val="24"/>
          <w:szCs w:val="24"/>
          <w:highlight w:val="none"/>
          <w:lang w:eastAsia="zh-CN"/>
        </w:rPr>
        <w:t>或服务</w:t>
      </w:r>
      <w:r>
        <w:rPr>
          <w:rStyle w:val="20"/>
          <w:rFonts w:hint="eastAsia" w:ascii="宋体" w:hAnsi="宋体" w:eastAsia="宋体" w:cs="宋体"/>
          <w:bCs/>
          <w:sz w:val="24"/>
          <w:szCs w:val="24"/>
          <w:highlight w:val="none"/>
        </w:rPr>
        <w:t>合同。</w:t>
      </w:r>
    </w:p>
    <w:p w14:paraId="205A4BE8">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20"/>
          <w:rFonts w:hint="eastAsia" w:ascii="宋体" w:hAnsi="宋体" w:eastAsia="宋体" w:cs="宋体"/>
          <w:bCs/>
          <w:sz w:val="24"/>
          <w:szCs w:val="24"/>
          <w:highlight w:val="none"/>
        </w:rPr>
      </w:pPr>
      <w:r>
        <w:rPr>
          <w:rStyle w:val="20"/>
          <w:rFonts w:hint="eastAsia" w:ascii="宋体" w:hAnsi="宋体" w:eastAsia="宋体" w:cs="宋体"/>
          <w:bCs/>
          <w:sz w:val="24"/>
          <w:szCs w:val="24"/>
          <w:highlight w:val="none"/>
        </w:rPr>
        <w:t>6、</w:t>
      </w:r>
      <w:r>
        <w:rPr>
          <w:rStyle w:val="20"/>
          <w:rFonts w:hint="eastAsia" w:ascii="宋体" w:hAnsi="宋体" w:cs="宋体"/>
          <w:bCs/>
          <w:sz w:val="24"/>
          <w:szCs w:val="24"/>
          <w:highlight w:val="none"/>
          <w:lang w:eastAsia="zh-CN"/>
        </w:rPr>
        <w:t>供应商</w:t>
      </w:r>
      <w:r>
        <w:rPr>
          <w:rStyle w:val="20"/>
          <w:rFonts w:hint="eastAsia" w:ascii="宋体" w:hAnsi="宋体" w:eastAsia="宋体" w:cs="宋体"/>
          <w:bCs/>
          <w:sz w:val="24"/>
          <w:szCs w:val="24"/>
          <w:highlight w:val="none"/>
        </w:rPr>
        <w:t>应对招标项目</w:t>
      </w:r>
      <w:r>
        <w:rPr>
          <w:rStyle w:val="20"/>
          <w:rFonts w:hint="eastAsia" w:ascii="宋体" w:hAnsi="宋体" w:eastAsia="宋体" w:cs="宋体"/>
          <w:bCs/>
          <w:sz w:val="24"/>
          <w:szCs w:val="24"/>
          <w:highlight w:val="none"/>
          <w:lang w:val="en-US" w:eastAsia="zh-CN"/>
        </w:rPr>
        <w:t>做出</w:t>
      </w:r>
      <w:r>
        <w:rPr>
          <w:rStyle w:val="20"/>
          <w:rFonts w:hint="eastAsia" w:ascii="宋体" w:hAnsi="宋体" w:eastAsia="宋体" w:cs="宋体"/>
          <w:bCs/>
          <w:sz w:val="24"/>
          <w:szCs w:val="24"/>
          <w:highlight w:val="none"/>
        </w:rPr>
        <w:t>合理的</w:t>
      </w:r>
      <w:r>
        <w:rPr>
          <w:rStyle w:val="20"/>
          <w:rFonts w:hint="eastAsia" w:ascii="宋体" w:hAnsi="宋体" w:eastAsia="宋体" w:cs="宋体"/>
          <w:bCs/>
          <w:sz w:val="24"/>
          <w:szCs w:val="24"/>
          <w:highlight w:val="none"/>
          <w:lang w:val="en-US" w:eastAsia="zh-CN"/>
        </w:rPr>
        <w:t>报价</w:t>
      </w:r>
      <w:r>
        <w:rPr>
          <w:rStyle w:val="20"/>
          <w:rFonts w:hint="eastAsia" w:ascii="宋体" w:hAnsi="宋体" w:eastAsia="宋体" w:cs="宋体"/>
          <w:bCs/>
          <w:sz w:val="24"/>
          <w:szCs w:val="24"/>
          <w:highlight w:val="none"/>
        </w:rPr>
        <w:t>，若报价高出</w:t>
      </w:r>
      <w:r>
        <w:rPr>
          <w:rStyle w:val="20"/>
          <w:rFonts w:hint="eastAsia" w:ascii="宋体" w:hAnsi="宋体" w:cs="宋体"/>
          <w:bCs/>
          <w:sz w:val="24"/>
          <w:szCs w:val="24"/>
          <w:highlight w:val="none"/>
          <w:lang w:val="en-US" w:eastAsia="zh-CN"/>
        </w:rPr>
        <w:t>招标限价</w:t>
      </w:r>
      <w:r>
        <w:rPr>
          <w:rStyle w:val="20"/>
          <w:rFonts w:hint="eastAsia" w:ascii="宋体" w:hAnsi="宋体" w:eastAsia="宋体" w:cs="宋体"/>
          <w:bCs/>
          <w:sz w:val="24"/>
          <w:szCs w:val="24"/>
          <w:highlight w:val="none"/>
        </w:rPr>
        <w:t>或中标价格高于市场价一经核实，按废标处理。</w:t>
      </w:r>
    </w:p>
    <w:p w14:paraId="66CFE08F">
      <w:pPr>
        <w:pStyle w:val="11"/>
      </w:pPr>
      <w:r>
        <w:rPr>
          <w:rStyle w:val="20"/>
          <w:rFonts w:hint="eastAsia" w:ascii="宋体" w:hAnsi="宋体" w:eastAsia="宋体" w:cs="宋体"/>
          <w:bCs/>
          <w:sz w:val="24"/>
          <w:szCs w:val="24"/>
          <w:highlight w:val="none"/>
        </w:rPr>
        <w:t>8、开评标过程中</w:t>
      </w:r>
      <w:r>
        <w:rPr>
          <w:rStyle w:val="20"/>
          <w:rFonts w:hint="eastAsia" w:ascii="宋体" w:hAnsi="宋体" w:cs="宋体"/>
          <w:bCs/>
          <w:sz w:val="24"/>
          <w:szCs w:val="24"/>
          <w:highlight w:val="none"/>
          <w:lang w:eastAsia="zh-CN"/>
        </w:rPr>
        <w:t>供应商</w:t>
      </w:r>
      <w:r>
        <w:rPr>
          <w:rStyle w:val="20"/>
          <w:rFonts w:hint="eastAsia" w:ascii="宋体" w:hAnsi="宋体" w:eastAsia="宋体" w:cs="宋体"/>
          <w:bCs/>
          <w:sz w:val="24"/>
          <w:szCs w:val="24"/>
          <w:highlight w:val="none"/>
        </w:rPr>
        <w:t>应准确回答</w:t>
      </w:r>
      <w:r>
        <w:rPr>
          <w:rStyle w:val="20"/>
          <w:rFonts w:hint="eastAsia" w:ascii="宋体" w:hAnsi="宋体" w:eastAsia="宋体" w:cs="宋体"/>
          <w:bCs/>
          <w:sz w:val="24"/>
          <w:szCs w:val="24"/>
          <w:highlight w:val="none"/>
          <w:lang w:val="en-US" w:eastAsia="zh-CN"/>
        </w:rPr>
        <w:t>评标专家</w:t>
      </w:r>
      <w:r>
        <w:rPr>
          <w:rStyle w:val="20"/>
          <w:rFonts w:hint="eastAsia" w:ascii="宋体" w:hAnsi="宋体" w:eastAsia="宋体" w:cs="宋体"/>
          <w:bCs/>
          <w:sz w:val="24"/>
          <w:szCs w:val="24"/>
          <w:highlight w:val="none"/>
        </w:rPr>
        <w:t>的质询。</w:t>
      </w:r>
      <w:r>
        <w:rPr>
          <w:rStyle w:val="20"/>
          <w:rFonts w:hint="eastAsia" w:ascii="宋体" w:hAnsi="宋体" w:cs="宋体"/>
          <w:bCs/>
          <w:sz w:val="24"/>
          <w:szCs w:val="24"/>
          <w:highlight w:val="none"/>
          <w:lang w:eastAsia="zh-CN"/>
        </w:rPr>
        <w:t>供应商</w:t>
      </w:r>
      <w:r>
        <w:rPr>
          <w:rStyle w:val="20"/>
          <w:rFonts w:hint="eastAsia" w:ascii="宋体" w:hAnsi="宋体" w:eastAsia="宋体" w:cs="宋体"/>
          <w:bCs/>
          <w:sz w:val="24"/>
          <w:szCs w:val="24"/>
          <w:highlight w:val="none"/>
        </w:rPr>
        <w:t>应委托本单位懂业务、懂技术（包括商务、技术）并且熟悉投标项目全部情况的人员参加开标会议，接受评委的质询。</w:t>
      </w:r>
    </w:p>
    <w:p w14:paraId="29E8840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cs="宋体"/>
          <w:b/>
          <w:bCs/>
          <w:sz w:val="32"/>
          <w:szCs w:val="32"/>
        </w:rPr>
      </w:pPr>
    </w:p>
    <w:p w14:paraId="65757D6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cs="宋体"/>
          <w:b/>
          <w:bCs/>
          <w:sz w:val="32"/>
          <w:szCs w:val="32"/>
        </w:rPr>
      </w:pPr>
    </w:p>
    <w:p w14:paraId="11EAC15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cs="宋体"/>
          <w:b/>
          <w:bCs/>
          <w:sz w:val="32"/>
          <w:szCs w:val="32"/>
        </w:rPr>
      </w:pPr>
    </w:p>
    <w:p w14:paraId="1A8119F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cs="宋体"/>
          <w:b/>
          <w:bCs/>
          <w:sz w:val="32"/>
          <w:szCs w:val="32"/>
        </w:rPr>
      </w:pPr>
    </w:p>
    <w:p w14:paraId="23AF19C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cs="宋体"/>
          <w:b/>
          <w:bCs/>
          <w:sz w:val="32"/>
          <w:szCs w:val="32"/>
        </w:rPr>
      </w:pPr>
    </w:p>
    <w:p w14:paraId="59CD8A4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cs="宋体"/>
          <w:b/>
          <w:bCs/>
          <w:sz w:val="32"/>
          <w:szCs w:val="32"/>
        </w:rPr>
      </w:pPr>
    </w:p>
    <w:p w14:paraId="41657DB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cs="宋体"/>
          <w:b/>
          <w:bCs/>
          <w:sz w:val="32"/>
          <w:szCs w:val="32"/>
        </w:rPr>
      </w:pPr>
    </w:p>
    <w:p w14:paraId="2CFFA88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cs="宋体"/>
          <w:b/>
          <w:bCs/>
          <w:sz w:val="32"/>
          <w:szCs w:val="32"/>
        </w:rPr>
      </w:pPr>
    </w:p>
    <w:p w14:paraId="10B5AF0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cs="宋体"/>
          <w:b/>
          <w:bCs/>
          <w:sz w:val="32"/>
          <w:szCs w:val="32"/>
        </w:rPr>
      </w:pPr>
    </w:p>
    <w:p w14:paraId="64FE06D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cs="宋体"/>
          <w:b/>
          <w:bCs/>
          <w:sz w:val="32"/>
          <w:szCs w:val="32"/>
        </w:rPr>
      </w:pPr>
    </w:p>
    <w:p w14:paraId="502F64E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cs="宋体"/>
          <w:b/>
          <w:bCs/>
          <w:sz w:val="32"/>
          <w:szCs w:val="32"/>
        </w:rPr>
      </w:pPr>
    </w:p>
    <w:p w14:paraId="08522DB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pPr>
      <w:r>
        <w:rPr>
          <w:rFonts w:hint="eastAsia" w:ascii="宋体" w:hAnsi="宋体" w:cs="宋体"/>
          <w:b/>
          <w:bCs/>
          <w:sz w:val="32"/>
          <w:szCs w:val="32"/>
        </w:rPr>
        <w:t>第</w:t>
      </w:r>
      <w:r>
        <w:rPr>
          <w:rFonts w:hint="eastAsia" w:ascii="宋体" w:hAnsi="宋体" w:cs="宋体"/>
          <w:b/>
          <w:bCs/>
          <w:sz w:val="32"/>
          <w:szCs w:val="32"/>
          <w:lang w:val="en-US" w:eastAsia="zh-CN"/>
        </w:rPr>
        <w:t>三</w:t>
      </w:r>
      <w:r>
        <w:rPr>
          <w:rFonts w:hint="eastAsia" w:ascii="宋体" w:hAnsi="宋体" w:cs="宋体"/>
          <w:b/>
          <w:bCs/>
          <w:sz w:val="32"/>
          <w:szCs w:val="32"/>
        </w:rPr>
        <w:t>章  合同基本条款</w:t>
      </w:r>
    </w:p>
    <w:p w14:paraId="53B07608">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甲方：</w:t>
      </w:r>
      <w:r>
        <w:rPr>
          <w:rFonts w:hint="eastAsia" w:ascii="仿宋" w:hAnsi="仿宋" w:eastAsia="仿宋" w:cs="宋体"/>
          <w:sz w:val="28"/>
          <w:szCs w:val="28"/>
          <w:u w:val="single"/>
        </w:rPr>
        <w:t>陕西中医药大学第二附属医院</w:t>
      </w:r>
      <w:r>
        <w:rPr>
          <w:rFonts w:hint="eastAsia" w:ascii="仿宋" w:hAnsi="仿宋" w:eastAsia="仿宋" w:cs="宋体"/>
          <w:sz w:val="28"/>
          <w:szCs w:val="28"/>
        </w:rPr>
        <w:t>，其注册登记地址为：</w:t>
      </w:r>
      <w:r>
        <w:rPr>
          <w:rFonts w:hint="eastAsia" w:ascii="仿宋" w:hAnsi="仿宋" w:eastAsia="仿宋" w:cs="宋体"/>
          <w:sz w:val="28"/>
          <w:szCs w:val="28"/>
          <w:u w:val="single"/>
        </w:rPr>
        <w:t>陕西省咸阳市渭阳西路5号</w:t>
      </w:r>
      <w:r>
        <w:rPr>
          <w:rFonts w:hint="eastAsia" w:ascii="仿宋" w:hAnsi="仿宋" w:eastAsia="仿宋" w:cs="宋体"/>
          <w:sz w:val="28"/>
          <w:szCs w:val="28"/>
        </w:rPr>
        <w:t>，法定代表人为：</w:t>
      </w:r>
      <w:r>
        <w:rPr>
          <w:rFonts w:hint="eastAsia" w:ascii="仿宋" w:hAnsi="仿宋" w:eastAsia="仿宋" w:cs="宋体"/>
          <w:sz w:val="28"/>
          <w:szCs w:val="28"/>
          <w:u w:val="single"/>
        </w:rPr>
        <w:t xml:space="preserve">        </w:t>
      </w:r>
      <w:r>
        <w:rPr>
          <w:rFonts w:hint="eastAsia" w:ascii="仿宋" w:hAnsi="仿宋" w:eastAsia="仿宋" w:cs="宋体"/>
          <w:sz w:val="28"/>
          <w:szCs w:val="28"/>
        </w:rPr>
        <w:t>。</w:t>
      </w:r>
    </w:p>
    <w:p w14:paraId="33AD05B8">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乙方：</w:t>
      </w:r>
      <w:r>
        <w:rPr>
          <w:rFonts w:hint="eastAsia" w:ascii="仿宋" w:hAnsi="仿宋" w:eastAsia="仿宋" w:cs="宋体"/>
          <w:sz w:val="28"/>
          <w:szCs w:val="28"/>
          <w:u w:val="single"/>
        </w:rPr>
        <w:t xml:space="preserve">        </w:t>
      </w:r>
      <w:r>
        <w:rPr>
          <w:rFonts w:hint="eastAsia" w:ascii="仿宋" w:hAnsi="仿宋" w:eastAsia="仿宋" w:cs="宋体"/>
          <w:sz w:val="28"/>
          <w:szCs w:val="28"/>
        </w:rPr>
        <w:t>，其注册登记地址为：</w:t>
      </w:r>
      <w:r>
        <w:rPr>
          <w:rFonts w:hint="eastAsia" w:ascii="仿宋" w:hAnsi="仿宋" w:eastAsia="仿宋" w:cs="宋体"/>
          <w:sz w:val="28"/>
          <w:szCs w:val="28"/>
          <w:u w:val="single"/>
        </w:rPr>
        <w:t xml:space="preserve">              </w:t>
      </w:r>
      <w:r>
        <w:rPr>
          <w:rFonts w:hint="eastAsia" w:ascii="仿宋" w:hAnsi="仿宋" w:eastAsia="仿宋" w:cs="宋体"/>
          <w:sz w:val="28"/>
          <w:szCs w:val="28"/>
        </w:rPr>
        <w:t>，法定代表人为：</w:t>
      </w:r>
      <w:r>
        <w:rPr>
          <w:rFonts w:hint="eastAsia" w:ascii="仿宋" w:hAnsi="仿宋" w:eastAsia="仿宋" w:cs="宋体"/>
          <w:sz w:val="28"/>
          <w:szCs w:val="28"/>
          <w:u w:val="single"/>
        </w:rPr>
        <w:t xml:space="preserve">            </w:t>
      </w:r>
      <w:r>
        <w:rPr>
          <w:rFonts w:hint="eastAsia" w:ascii="仿宋" w:hAnsi="仿宋" w:eastAsia="仿宋" w:cs="宋体"/>
          <w:sz w:val="28"/>
          <w:szCs w:val="28"/>
        </w:rPr>
        <w:t xml:space="preserve">。 </w:t>
      </w:r>
    </w:p>
    <w:p w14:paraId="0FC14481">
      <w:pPr>
        <w:spacing w:line="360" w:lineRule="auto"/>
        <w:ind w:firstLine="560" w:firstLineChars="200"/>
        <w:rPr>
          <w:rFonts w:hint="eastAsia" w:ascii="仿宋" w:hAnsi="仿宋" w:eastAsia="仿宋" w:cs="宋体"/>
          <w:sz w:val="28"/>
          <w:szCs w:val="28"/>
          <w:u w:val="single"/>
        </w:rPr>
      </w:pPr>
      <w:r>
        <w:rPr>
          <w:rFonts w:hint="eastAsia" w:ascii="仿宋" w:hAnsi="仿宋" w:eastAsia="仿宋" w:cs="宋体"/>
          <w:sz w:val="28"/>
          <w:szCs w:val="28"/>
        </w:rPr>
        <w:t>甲、乙双方基于公平、公正、平等的原则，依据《中华人民共和国合同法》、《中华人民共和国民法通则》之相关规定，现经甲、乙双方友好协商，就甲方</w:t>
      </w:r>
      <w:r>
        <w:rPr>
          <w:rFonts w:hint="eastAsia" w:ascii="仿宋" w:hAnsi="仿宋" w:eastAsia="仿宋"/>
          <w:sz w:val="28"/>
          <w:szCs w:val="28"/>
          <w:u w:val="single"/>
        </w:rPr>
        <w:t xml:space="preserve">        </w:t>
      </w:r>
      <w:r>
        <w:rPr>
          <w:rFonts w:hint="eastAsia" w:ascii="仿宋" w:hAnsi="仿宋" w:eastAsia="仿宋" w:cs="宋体"/>
          <w:sz w:val="28"/>
          <w:szCs w:val="28"/>
        </w:rPr>
        <w:t>事宜，达成以下合同条款：</w:t>
      </w:r>
    </w:p>
    <w:p w14:paraId="046DC87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1"/>
        <w:rPr>
          <w:rFonts w:hint="eastAsia" w:ascii="仿宋" w:hAnsi="仿宋" w:eastAsia="仿宋" w:cs="宋体"/>
          <w:b/>
          <w:sz w:val="28"/>
          <w:szCs w:val="28"/>
        </w:rPr>
      </w:pPr>
      <w:r>
        <w:rPr>
          <w:rFonts w:hint="eastAsia" w:ascii="仿宋" w:hAnsi="仿宋" w:eastAsia="仿宋" w:cs="宋体"/>
          <w:b/>
          <w:sz w:val="28"/>
          <w:szCs w:val="28"/>
        </w:rPr>
        <w:t>第一条：履行条件</w:t>
      </w:r>
    </w:p>
    <w:p w14:paraId="02B0D255">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乙方中标《陕西中医药大学第二附属医院</w:t>
      </w:r>
      <w:r>
        <w:rPr>
          <w:rFonts w:hint="eastAsia" w:ascii="仿宋" w:hAnsi="仿宋" w:eastAsia="仿宋" w:cs="宋体"/>
          <w:sz w:val="28"/>
          <w:szCs w:val="28"/>
          <w:lang w:eastAsia="zh-CN"/>
        </w:rPr>
        <w:t>传染病前置软件接口</w:t>
      </w:r>
      <w:r>
        <w:rPr>
          <w:rFonts w:hint="eastAsia" w:ascii="仿宋" w:hAnsi="仿宋" w:eastAsia="仿宋" w:cs="宋体"/>
          <w:sz w:val="28"/>
          <w:szCs w:val="28"/>
        </w:rPr>
        <w:t>采购项目》</w:t>
      </w:r>
    </w:p>
    <w:p w14:paraId="5481AA7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1"/>
        <w:rPr>
          <w:rFonts w:hint="eastAsia" w:ascii="仿宋" w:hAnsi="仿宋" w:eastAsia="仿宋" w:cs="宋体"/>
          <w:b/>
          <w:sz w:val="28"/>
          <w:szCs w:val="28"/>
        </w:rPr>
      </w:pPr>
      <w:r>
        <w:rPr>
          <w:rFonts w:hint="eastAsia" w:ascii="仿宋" w:hAnsi="仿宋" w:eastAsia="仿宋" w:cs="宋体"/>
          <w:b/>
          <w:sz w:val="28"/>
          <w:szCs w:val="28"/>
          <w:lang w:val="en-US" w:eastAsia="zh-CN"/>
        </w:rPr>
        <w:t>第二条</w:t>
      </w:r>
      <w:r>
        <w:rPr>
          <w:rFonts w:hint="eastAsia" w:ascii="仿宋" w:hAnsi="仿宋" w:eastAsia="仿宋" w:cs="宋体"/>
          <w:b/>
          <w:sz w:val="28"/>
          <w:szCs w:val="28"/>
          <w:lang w:eastAsia="zh-CN"/>
        </w:rPr>
        <w:t>：</w:t>
      </w:r>
      <w:r>
        <w:rPr>
          <w:rFonts w:hint="eastAsia" w:ascii="仿宋" w:hAnsi="仿宋" w:eastAsia="仿宋" w:cs="宋体"/>
          <w:b/>
          <w:sz w:val="28"/>
          <w:szCs w:val="28"/>
        </w:rPr>
        <w:t>设备清单</w:t>
      </w:r>
    </w:p>
    <w:p w14:paraId="0D75A227">
      <w:pPr>
        <w:spacing w:line="360" w:lineRule="auto"/>
        <w:ind w:firstLine="560" w:firstLineChars="20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传染病前置软件接口一套</w:t>
      </w:r>
    </w:p>
    <w:p w14:paraId="74DA738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1"/>
        <w:rPr>
          <w:rFonts w:hint="eastAsia" w:ascii="仿宋" w:hAnsi="仿宋" w:eastAsia="仿宋" w:cs="宋体"/>
          <w:b/>
          <w:bCs/>
          <w:sz w:val="28"/>
          <w:szCs w:val="28"/>
        </w:rPr>
      </w:pPr>
      <w:r>
        <w:rPr>
          <w:rFonts w:hint="eastAsia" w:ascii="仿宋" w:hAnsi="仿宋" w:eastAsia="仿宋" w:cs="宋体"/>
          <w:b/>
          <w:bCs/>
          <w:sz w:val="28"/>
          <w:szCs w:val="28"/>
        </w:rPr>
        <w:t>第三条：合同价款</w:t>
      </w:r>
    </w:p>
    <w:p w14:paraId="7B8E04AF">
      <w:pPr>
        <w:spacing w:line="360" w:lineRule="auto"/>
        <w:ind w:firstLine="708" w:firstLineChars="253"/>
        <w:rPr>
          <w:rFonts w:hint="eastAsia" w:ascii="仿宋" w:hAnsi="仿宋" w:eastAsia="仿宋" w:cs="宋体"/>
          <w:sz w:val="28"/>
          <w:szCs w:val="28"/>
        </w:rPr>
      </w:pPr>
      <w:r>
        <w:rPr>
          <w:rFonts w:hint="eastAsia" w:ascii="仿宋" w:hAnsi="仿宋" w:eastAsia="仿宋" w:cs="宋体"/>
          <w:sz w:val="28"/>
          <w:szCs w:val="28"/>
        </w:rPr>
        <w:t>1、合同总金额：</w:t>
      </w:r>
      <w:r>
        <w:rPr>
          <w:rFonts w:hint="eastAsia" w:ascii="仿宋" w:hAnsi="仿宋" w:eastAsia="仿宋" w:cs="宋体"/>
          <w:sz w:val="28"/>
          <w:szCs w:val="28"/>
          <w:lang w:val="en-US" w:eastAsia="zh-CN"/>
        </w:rPr>
        <w:t>9.5</w:t>
      </w:r>
      <w:r>
        <w:rPr>
          <w:rFonts w:hint="eastAsia" w:ascii="仿宋" w:hAnsi="仿宋" w:eastAsia="仿宋" w:cs="宋体"/>
          <w:sz w:val="28"/>
          <w:szCs w:val="28"/>
        </w:rPr>
        <w:t>万元</w:t>
      </w:r>
    </w:p>
    <w:p w14:paraId="1256B246">
      <w:pPr>
        <w:spacing w:line="360" w:lineRule="auto"/>
        <w:ind w:firstLine="708" w:firstLineChars="253"/>
        <w:rPr>
          <w:rFonts w:hint="eastAsia" w:ascii="仿宋" w:hAnsi="仿宋" w:eastAsia="仿宋" w:cs="宋体"/>
          <w:sz w:val="28"/>
          <w:szCs w:val="28"/>
        </w:rPr>
      </w:pPr>
      <w:r>
        <w:rPr>
          <w:rFonts w:ascii="仿宋" w:hAnsi="仿宋" w:eastAsia="仿宋" w:cs="宋体"/>
          <w:sz w:val="28"/>
          <w:szCs w:val="28"/>
        </w:rPr>
        <w:t>2</w:t>
      </w:r>
      <w:r>
        <w:rPr>
          <w:rFonts w:hint="eastAsia" w:ascii="仿宋" w:hAnsi="仿宋" w:eastAsia="仿宋" w:cs="宋体"/>
          <w:sz w:val="28"/>
          <w:szCs w:val="28"/>
        </w:rPr>
        <w:t>、合同总价中包含产品供应价、安装调试费、升级集成费、运行维护费、培训费、税金及其他不可预见费用</w:t>
      </w:r>
      <w:r>
        <w:rPr>
          <w:rFonts w:ascii="仿宋" w:hAnsi="仿宋" w:eastAsia="仿宋" w:cs="宋体"/>
          <w:sz w:val="28"/>
          <w:szCs w:val="28"/>
        </w:rPr>
        <w:t>。</w:t>
      </w:r>
    </w:p>
    <w:p w14:paraId="2301F54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1"/>
        <w:rPr>
          <w:rFonts w:hint="eastAsia" w:ascii="仿宋" w:hAnsi="仿宋" w:eastAsia="仿宋" w:cs="宋体"/>
          <w:b/>
          <w:bCs/>
          <w:sz w:val="28"/>
          <w:szCs w:val="28"/>
        </w:rPr>
      </w:pPr>
      <w:r>
        <w:rPr>
          <w:rFonts w:hint="eastAsia" w:ascii="仿宋" w:hAnsi="仿宋" w:eastAsia="仿宋" w:cs="宋体"/>
          <w:b/>
          <w:bCs/>
          <w:sz w:val="28"/>
          <w:szCs w:val="28"/>
        </w:rPr>
        <w:t>第四条：付款方式</w:t>
      </w:r>
    </w:p>
    <w:p w14:paraId="18A36022">
      <w:pPr>
        <w:numPr>
          <w:ilvl w:val="0"/>
          <w:numId w:val="4"/>
        </w:numPr>
        <w:spacing w:line="360" w:lineRule="auto"/>
        <w:ind w:firstLine="490" w:firstLineChars="175"/>
        <w:rPr>
          <w:rFonts w:hint="eastAsia" w:ascii="仿宋" w:hAnsi="仿宋" w:eastAsia="仿宋" w:cs="宋体"/>
          <w:sz w:val="28"/>
          <w:szCs w:val="28"/>
        </w:rPr>
      </w:pPr>
      <w:r>
        <w:rPr>
          <w:rFonts w:hint="eastAsia" w:ascii="仿宋" w:hAnsi="仿宋" w:eastAsia="仿宋" w:cs="宋体"/>
          <w:sz w:val="28"/>
          <w:szCs w:val="28"/>
        </w:rPr>
        <w:t>合同款支付：</w:t>
      </w:r>
    </w:p>
    <w:p w14:paraId="1D2B9A6F">
      <w:pPr>
        <w:numPr>
          <w:ilvl w:val="0"/>
          <w:numId w:val="0"/>
        </w:num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①甲方根据实际需要在合同采购清单所约定的产品名称范围内向乙方通知安装时的产品；</w:t>
      </w:r>
    </w:p>
    <w:p w14:paraId="2CD04E8C">
      <w:pPr>
        <w:spacing w:line="360" w:lineRule="auto"/>
        <w:ind w:firstLine="490" w:firstLineChars="175"/>
        <w:rPr>
          <w:rFonts w:hint="eastAsia" w:ascii="仿宋" w:hAnsi="仿宋" w:eastAsia="仿宋" w:cs="宋体"/>
          <w:sz w:val="28"/>
          <w:szCs w:val="28"/>
        </w:rPr>
      </w:pPr>
      <w:r>
        <w:rPr>
          <w:rFonts w:hint="eastAsia" w:ascii="仿宋" w:hAnsi="仿宋" w:eastAsia="仿宋" w:cs="宋体"/>
          <w:sz w:val="28"/>
          <w:szCs w:val="28"/>
        </w:rPr>
        <w:t xml:space="preserve">②货款根据甲方实际安装情况结算，在完成项目安装、调试、验收后，甲方向乙方支付所执行的产品总金额的95%； </w:t>
      </w:r>
    </w:p>
    <w:p w14:paraId="4E620981">
      <w:pPr>
        <w:spacing w:line="360" w:lineRule="auto"/>
        <w:ind w:firstLine="490" w:firstLineChars="175"/>
        <w:rPr>
          <w:rFonts w:hint="eastAsia" w:ascii="仿宋" w:hAnsi="仿宋" w:eastAsia="仿宋" w:cs="宋体"/>
          <w:sz w:val="28"/>
          <w:szCs w:val="28"/>
        </w:rPr>
      </w:pPr>
      <w:r>
        <w:rPr>
          <w:rFonts w:hint="eastAsia" w:ascii="仿宋" w:hAnsi="仿宋" w:eastAsia="仿宋" w:cs="宋体"/>
          <w:sz w:val="28"/>
          <w:szCs w:val="28"/>
        </w:rPr>
        <w:t>③合同到期或执行完毕后12个月，甲方付清剩余的5%质保金。</w:t>
      </w:r>
    </w:p>
    <w:p w14:paraId="22137FFE">
      <w:pPr>
        <w:spacing w:line="360" w:lineRule="auto"/>
        <w:ind w:firstLine="490" w:firstLineChars="175"/>
        <w:rPr>
          <w:rFonts w:hint="eastAsia" w:ascii="仿宋" w:hAnsi="仿宋" w:eastAsia="仿宋" w:cs="仿宋"/>
          <w:sz w:val="24"/>
        </w:rPr>
      </w:pPr>
      <w:r>
        <w:rPr>
          <w:rFonts w:hint="eastAsia" w:ascii="仿宋" w:hAnsi="仿宋" w:eastAsia="仿宋" w:cs="宋体"/>
          <w:sz w:val="28"/>
          <w:szCs w:val="28"/>
        </w:rPr>
        <w:t xml:space="preserve">以上款项均需乙方先开具发票甲方再行支付。  </w:t>
      </w:r>
      <w:r>
        <w:rPr>
          <w:rFonts w:hint="eastAsia" w:ascii="仿宋" w:hAnsi="仿宋" w:eastAsia="仿宋" w:cs="仿宋"/>
          <w:sz w:val="24"/>
        </w:rPr>
        <w:t xml:space="preserve"> </w:t>
      </w:r>
    </w:p>
    <w:p w14:paraId="6121FCDA">
      <w:pPr>
        <w:pStyle w:val="21"/>
        <w:spacing w:line="360" w:lineRule="auto"/>
        <w:ind w:firstLineChars="200"/>
        <w:rPr>
          <w:rFonts w:hint="eastAsia" w:ascii="仿宋" w:hAnsi="仿宋" w:eastAsia="仿宋" w:cs="宋体"/>
          <w:sz w:val="28"/>
          <w:szCs w:val="28"/>
        </w:rPr>
      </w:pPr>
      <w:r>
        <w:rPr>
          <w:rFonts w:hint="eastAsia" w:ascii="仿宋" w:hAnsi="仿宋" w:eastAsia="仿宋" w:cs="宋体"/>
          <w:sz w:val="28"/>
          <w:szCs w:val="28"/>
        </w:rPr>
        <w:t>2、支付方式：甲方直接将货款通过银行转账的方式转入乙方指定的专用账号。乙方账号名：</w:t>
      </w:r>
      <w:r>
        <w:rPr>
          <w:rFonts w:hint="eastAsia" w:ascii="仿宋" w:hAnsi="仿宋" w:eastAsia="仿宋" w:cs="宋体"/>
          <w:sz w:val="28"/>
          <w:szCs w:val="28"/>
          <w:u w:val="single"/>
        </w:rPr>
        <w:t xml:space="preserve">                   </w:t>
      </w:r>
      <w:r>
        <w:rPr>
          <w:rFonts w:hint="eastAsia" w:ascii="仿宋" w:hAnsi="仿宋" w:eastAsia="仿宋" w:cs="宋体"/>
          <w:sz w:val="28"/>
          <w:szCs w:val="28"/>
        </w:rPr>
        <w:t>。账号：</w:t>
      </w:r>
      <w:r>
        <w:rPr>
          <w:rFonts w:hint="eastAsia" w:ascii="仿宋" w:hAnsi="仿宋" w:eastAsia="仿宋" w:cs="宋体"/>
          <w:sz w:val="28"/>
          <w:szCs w:val="28"/>
          <w:u w:val="single"/>
        </w:rPr>
        <w:t xml:space="preserve">          </w:t>
      </w:r>
      <w:r>
        <w:rPr>
          <w:rFonts w:hint="eastAsia" w:ascii="仿宋" w:hAnsi="仿宋" w:eastAsia="仿宋" w:cs="宋体"/>
          <w:sz w:val="28"/>
          <w:szCs w:val="28"/>
        </w:rPr>
        <w:t>。开户行：</w:t>
      </w:r>
      <w:r>
        <w:rPr>
          <w:rFonts w:hint="eastAsia" w:ascii="仿宋" w:hAnsi="仿宋" w:eastAsia="仿宋" w:cs="宋体"/>
          <w:sz w:val="28"/>
          <w:szCs w:val="28"/>
          <w:u w:val="single"/>
        </w:rPr>
        <w:t xml:space="preserve">                   </w:t>
      </w:r>
      <w:r>
        <w:rPr>
          <w:rFonts w:hint="eastAsia" w:ascii="仿宋" w:hAnsi="仿宋" w:eastAsia="仿宋" w:cs="宋体"/>
          <w:sz w:val="28"/>
          <w:szCs w:val="28"/>
        </w:rPr>
        <w:t>。</w:t>
      </w:r>
      <w:r>
        <w:rPr>
          <w:rFonts w:ascii="仿宋" w:hAnsi="仿宋" w:eastAsia="仿宋" w:cs="宋体"/>
          <w:sz w:val="28"/>
          <w:szCs w:val="28"/>
        </w:rPr>
        <w:t xml:space="preserve"> </w:t>
      </w:r>
    </w:p>
    <w:p w14:paraId="6FEE1F4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1"/>
        <w:rPr>
          <w:rFonts w:hint="eastAsia" w:ascii="仿宋" w:hAnsi="仿宋" w:eastAsia="仿宋" w:cs="宋体"/>
          <w:b/>
          <w:sz w:val="28"/>
          <w:szCs w:val="28"/>
        </w:rPr>
      </w:pPr>
      <w:r>
        <w:rPr>
          <w:rFonts w:hint="eastAsia" w:ascii="仿宋" w:hAnsi="仿宋" w:eastAsia="仿宋" w:cs="宋体"/>
          <w:b/>
          <w:sz w:val="28"/>
          <w:szCs w:val="28"/>
        </w:rPr>
        <w:t>第五条：相关要求</w:t>
      </w:r>
    </w:p>
    <w:p w14:paraId="1D327F5F">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b/>
          <w:sz w:val="28"/>
          <w:szCs w:val="28"/>
        </w:rPr>
      </w:pPr>
      <w:r>
        <w:rPr>
          <w:rFonts w:hint="eastAsia" w:ascii="仿宋" w:hAnsi="仿宋" w:eastAsia="仿宋"/>
          <w:b/>
          <w:sz w:val="28"/>
          <w:szCs w:val="28"/>
        </w:rPr>
        <w:t>5.1质保及维保服务（提供售后服务承诺书）：</w:t>
      </w:r>
    </w:p>
    <w:p w14:paraId="354D292B">
      <w:pPr>
        <w:tabs>
          <w:tab w:val="left" w:pos="1080"/>
        </w:tabs>
        <w:spacing w:line="360" w:lineRule="auto"/>
        <w:ind w:firstLine="560" w:firstLineChars="200"/>
        <w:rPr>
          <w:rFonts w:hint="eastAsia" w:ascii="仿宋" w:hAnsi="仿宋" w:eastAsia="仿宋"/>
          <w:sz w:val="28"/>
          <w:szCs w:val="28"/>
        </w:rPr>
      </w:pPr>
      <w:r>
        <w:rPr>
          <w:rFonts w:hint="eastAsia" w:ascii="仿宋" w:hAnsi="仿宋" w:eastAsia="仿宋"/>
          <w:sz w:val="28"/>
          <w:szCs w:val="28"/>
        </w:rPr>
        <w:t>1）供应商应提供可承担维护职能的公司、全资分公司或办事处，并驻守多名维护技术人员，并提供地点、联系人（常驻工程师）及联系电话（服务热线），随时解答各种疑问（需提供相关证明材料）。</w:t>
      </w:r>
    </w:p>
    <w:p w14:paraId="6C311F4D">
      <w:pPr>
        <w:spacing w:line="360" w:lineRule="auto"/>
        <w:ind w:firstLine="560" w:firstLineChars="200"/>
        <w:rPr>
          <w:rFonts w:hint="eastAsia" w:ascii="仿宋" w:hAnsi="仿宋" w:eastAsia="仿宋"/>
          <w:sz w:val="28"/>
          <w:szCs w:val="28"/>
        </w:rPr>
      </w:pPr>
      <w:r>
        <w:rPr>
          <w:rFonts w:hint="eastAsia" w:ascii="仿宋" w:hAnsi="仿宋" w:eastAsia="仿宋"/>
          <w:b w:val="0"/>
          <w:bCs w:val="0"/>
          <w:sz w:val="28"/>
          <w:szCs w:val="28"/>
        </w:rPr>
        <w:t>2）质量保证期为交付验收完毕之后</w:t>
      </w:r>
      <w:r>
        <w:rPr>
          <w:rFonts w:ascii="仿宋" w:hAnsi="仿宋" w:eastAsia="仿宋"/>
          <w:b w:val="0"/>
          <w:bCs w:val="0"/>
          <w:sz w:val="28"/>
          <w:szCs w:val="28"/>
        </w:rPr>
        <w:t>36</w:t>
      </w:r>
      <w:r>
        <w:rPr>
          <w:rFonts w:hint="eastAsia" w:ascii="仿宋" w:hAnsi="仿宋" w:eastAsia="仿宋"/>
          <w:b w:val="0"/>
          <w:bCs w:val="0"/>
          <w:sz w:val="28"/>
          <w:szCs w:val="28"/>
        </w:rPr>
        <w:t>个月，在此期间，甲方在</w:t>
      </w:r>
      <w:r>
        <w:rPr>
          <w:rFonts w:hint="eastAsia" w:ascii="仿宋" w:hAnsi="仿宋" w:eastAsia="仿宋"/>
          <w:sz w:val="28"/>
          <w:szCs w:val="28"/>
        </w:rPr>
        <w:t>软件系统运行过程中发现问题或使用质量不符合要求的、或遇政策调整，可以要求乙方修改或重做，乙方有义务及时免费提供相应服务。成交供应商须提供7×24小时专人服务。系统质保期内，在非不可抗力和非人为因素情况下，一切维护保养费用均由成交供应商免费提供，并提供免费软件升级、软件故障排除、补丁安装、软件重装等维护服务。</w:t>
      </w:r>
    </w:p>
    <w:p w14:paraId="338AAE28">
      <w:pPr>
        <w:pStyle w:val="2"/>
        <w:ind w:firstLine="560" w:firstLineChars="200"/>
        <w:rPr>
          <w:rFonts w:hint="eastAsia" w:ascii="仿宋" w:hAnsi="仿宋" w:eastAsia="仿宋"/>
          <w:sz w:val="28"/>
          <w:szCs w:val="28"/>
        </w:rPr>
      </w:pPr>
      <w:r>
        <w:rPr>
          <w:rFonts w:hint="eastAsia" w:ascii="仿宋" w:hAnsi="仿宋" w:eastAsia="仿宋"/>
          <w:sz w:val="28"/>
          <w:szCs w:val="28"/>
        </w:rPr>
        <w:t>3）每年至少四次上门维护，回访。</w:t>
      </w:r>
    </w:p>
    <w:p w14:paraId="6A47FEA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b/>
          <w:sz w:val="28"/>
          <w:szCs w:val="28"/>
        </w:rPr>
      </w:pPr>
      <w:r>
        <w:rPr>
          <w:rFonts w:hint="eastAsia" w:ascii="仿宋" w:hAnsi="仿宋" w:eastAsia="仿宋"/>
          <w:b/>
          <w:sz w:val="28"/>
          <w:szCs w:val="28"/>
        </w:rPr>
        <w:t>5.2技术支持：</w:t>
      </w:r>
    </w:p>
    <w:p w14:paraId="67007F57">
      <w:pPr>
        <w:spacing w:line="52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1、提供质保期内全年7×24小时的技术咨询服务。供应商怠于或无法提供技术支持的，采购人有权委托第三方处理，由此产生的费用和后果由供应商负责，费用直接从应付款或质保金中扣除。供应商指定的项目总协调人必须是供应商公司管理层人员。因供应商的人员变更原因所造成的任何项目质量、进度滞后的后果，由供应商承担。</w:t>
      </w:r>
    </w:p>
    <w:p w14:paraId="19221B6D">
      <w:pPr>
        <w:ind w:firstLine="560" w:firstLineChars="200"/>
        <w:rPr>
          <w:rFonts w:hint="eastAsia" w:ascii="仿宋" w:hAnsi="仿宋" w:eastAsia="仿宋" w:cs="宋体"/>
          <w:b/>
          <w:sz w:val="28"/>
          <w:szCs w:val="28"/>
        </w:rPr>
      </w:pPr>
      <w:r>
        <w:rPr>
          <w:rFonts w:hint="eastAsia" w:ascii="仿宋" w:hAnsi="仿宋" w:eastAsia="仿宋" w:cs="宋体"/>
          <w:sz w:val="28"/>
          <w:szCs w:val="28"/>
        </w:rPr>
        <w:t>2、供应商在项目实施过程中，质量保障人员、资源不足或者执行不力，给项目质量带来的风险超出采购人认定的允许范围时，采购人可终止本项目的合作并进行索赔。</w:t>
      </w:r>
    </w:p>
    <w:p w14:paraId="4C82F0E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b/>
          <w:sz w:val="28"/>
          <w:szCs w:val="28"/>
        </w:rPr>
      </w:pPr>
      <w:r>
        <w:rPr>
          <w:rFonts w:hint="eastAsia" w:ascii="仿宋" w:hAnsi="仿宋" w:eastAsia="仿宋"/>
          <w:b/>
          <w:sz w:val="28"/>
          <w:szCs w:val="28"/>
        </w:rPr>
        <w:t>5.3技术培训：</w:t>
      </w:r>
    </w:p>
    <w:p w14:paraId="565F97C4">
      <w:pPr>
        <w:spacing w:line="360" w:lineRule="auto"/>
        <w:ind w:firstLine="560" w:firstLineChars="200"/>
        <w:rPr>
          <w:rFonts w:hint="eastAsia" w:ascii="仿宋" w:hAnsi="仿宋" w:eastAsia="仿宋"/>
          <w:sz w:val="28"/>
          <w:szCs w:val="28"/>
        </w:rPr>
      </w:pPr>
      <w:r>
        <w:rPr>
          <w:rFonts w:hint="eastAsia" w:ascii="仿宋" w:hAnsi="仿宋" w:eastAsia="仿宋" w:cs="宋体"/>
          <w:sz w:val="28"/>
          <w:szCs w:val="28"/>
        </w:rPr>
        <w:t>应包括产品使用操作、维修等培训内容。供应商需按采购人要求的时间为采购人免费培训技术人员若干名，培训服务以受培训人员熟练掌握相应技能为原则。在产品投入使用初期进行必要的跟踪指导，保障产品的稳定运行。投标产品需在培训基地培训的，供应商应按要求履行，培训产生的交通费、食宿费、培训费等均由供应商承担。</w:t>
      </w:r>
    </w:p>
    <w:p w14:paraId="2C4E249A">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1"/>
        <w:rPr>
          <w:rFonts w:hint="eastAsia" w:ascii="仿宋" w:hAnsi="仿宋" w:eastAsia="仿宋" w:cs="宋体"/>
          <w:b/>
          <w:sz w:val="28"/>
          <w:szCs w:val="28"/>
        </w:rPr>
      </w:pPr>
      <w:r>
        <w:rPr>
          <w:rFonts w:hint="eastAsia" w:ascii="仿宋" w:hAnsi="仿宋" w:eastAsia="仿宋" w:cs="宋体"/>
          <w:b/>
          <w:sz w:val="28"/>
          <w:szCs w:val="28"/>
        </w:rPr>
        <w:t>第六条：质量、安全保证</w:t>
      </w:r>
    </w:p>
    <w:p w14:paraId="4CDEFF16">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1．供应商提供服务的人员必须严格遵守国家相关法律法规。</w:t>
      </w:r>
    </w:p>
    <w:p w14:paraId="21ECD259">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2．供应商必须具备项目服务能力。</w:t>
      </w:r>
    </w:p>
    <w:p w14:paraId="154E74A1">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3．供应商必须按国家和地方相关法律法规要求，为提供服务的人员缴纳社会保险。</w:t>
      </w:r>
    </w:p>
    <w:p w14:paraId="7DDD053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1"/>
        <w:rPr>
          <w:rFonts w:hint="eastAsia" w:ascii="仿宋" w:hAnsi="仿宋" w:eastAsia="仿宋" w:cs="宋体"/>
          <w:b/>
          <w:sz w:val="28"/>
          <w:szCs w:val="28"/>
        </w:rPr>
      </w:pPr>
      <w:r>
        <w:rPr>
          <w:rFonts w:hint="eastAsia" w:ascii="仿宋" w:hAnsi="仿宋" w:eastAsia="仿宋" w:cs="宋体"/>
          <w:b/>
          <w:sz w:val="28"/>
          <w:szCs w:val="28"/>
        </w:rPr>
        <w:t>第七条：服务职责</w:t>
      </w:r>
    </w:p>
    <w:p w14:paraId="231E5984">
      <w:pPr>
        <w:adjustRightInd w:val="0"/>
        <w:snapToGrid w:val="0"/>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提供服务的劳务公司及派遣的人员必须严格遵守相关规定，建立健全岗位责任制度和管理制度、各种紧急(突发)事件应对处置预案等服务管理制度体系,并加强对服务人员的管理。</w:t>
      </w:r>
    </w:p>
    <w:p w14:paraId="5E5CCF8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1"/>
        <w:rPr>
          <w:rFonts w:hint="eastAsia" w:ascii="仿宋" w:hAnsi="仿宋" w:eastAsia="仿宋" w:cs="宋体"/>
          <w:b/>
          <w:sz w:val="28"/>
          <w:szCs w:val="28"/>
        </w:rPr>
      </w:pPr>
      <w:r>
        <w:rPr>
          <w:rFonts w:hint="eastAsia" w:ascii="仿宋" w:hAnsi="仿宋" w:eastAsia="仿宋" w:cs="宋体"/>
          <w:b/>
          <w:sz w:val="28"/>
          <w:szCs w:val="28"/>
        </w:rPr>
        <w:t>第八条：验收</w:t>
      </w:r>
    </w:p>
    <w:p w14:paraId="29925F30">
      <w:pPr>
        <w:adjustRightInd w:val="0"/>
        <w:snapToGrid w:val="0"/>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接口实际安装调试完成确认无误后，由招标方信息中心负责组织进行现场验收，招标方和供应商在现场对所安装的产品及运行使用情况验收，并形成验收结论，验收依据要求单证齐全，</w:t>
      </w:r>
    </w:p>
    <w:p w14:paraId="6F5A728D">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1"/>
        <w:rPr>
          <w:rFonts w:hint="eastAsia" w:ascii="仿宋" w:hAnsi="仿宋" w:eastAsia="仿宋" w:cs="宋体"/>
          <w:b/>
          <w:sz w:val="28"/>
          <w:szCs w:val="28"/>
        </w:rPr>
      </w:pPr>
      <w:r>
        <w:rPr>
          <w:rFonts w:hint="eastAsia" w:ascii="仿宋" w:hAnsi="仿宋" w:eastAsia="仿宋" w:cs="宋体"/>
          <w:b/>
          <w:sz w:val="28"/>
          <w:szCs w:val="28"/>
        </w:rPr>
        <w:t>第九条：违约责任</w:t>
      </w:r>
    </w:p>
    <w:p w14:paraId="7BE97B50">
      <w:pPr>
        <w:adjustRightInd w:val="0"/>
        <w:snapToGrid w:val="0"/>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（一）</w:t>
      </w:r>
      <w:r>
        <w:rPr>
          <w:rFonts w:ascii="仿宋" w:hAnsi="仿宋" w:eastAsia="仿宋" w:cs="宋体"/>
          <w:sz w:val="28"/>
          <w:szCs w:val="28"/>
        </w:rPr>
        <w:t>除本合同另有规定外，</w:t>
      </w:r>
      <w:r>
        <w:rPr>
          <w:rFonts w:hint="eastAsia" w:ascii="仿宋" w:hAnsi="仿宋" w:eastAsia="仿宋" w:cs="宋体"/>
          <w:sz w:val="28"/>
          <w:szCs w:val="28"/>
        </w:rPr>
        <w:t>按《合同法》中的相关条款执行。</w:t>
      </w:r>
    </w:p>
    <w:p w14:paraId="472CA213">
      <w:pPr>
        <w:adjustRightInd w:val="0"/>
        <w:snapToGrid w:val="0"/>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二）若乙方未按合同约定履行合同义务或履行不符合合同、招投标文件技术要求的，乙方必须无条件提高技术，完善质量，否则，甲方有权单方解除终止合同，解除合同书面通知书到达乙方之日视为合同已解除，按以下两种方式追究乙方的违约责任，并对乙方的违约行为报监管机构进行相应的处罚。</w:t>
      </w:r>
    </w:p>
    <w:p w14:paraId="1652900B">
      <w:pPr>
        <w:adjustRightInd w:val="0"/>
        <w:snapToGrid w:val="0"/>
        <w:spacing w:line="360" w:lineRule="auto"/>
        <w:ind w:firstLine="991" w:firstLineChars="354"/>
        <w:rPr>
          <w:rFonts w:hint="eastAsia" w:ascii="仿宋" w:hAnsi="仿宋" w:eastAsia="仿宋" w:cs="宋体"/>
          <w:sz w:val="28"/>
          <w:szCs w:val="28"/>
        </w:rPr>
      </w:pPr>
      <w:r>
        <w:rPr>
          <w:rFonts w:hint="eastAsia" w:ascii="仿宋" w:hAnsi="仿宋" w:eastAsia="仿宋" w:cs="宋体"/>
          <w:sz w:val="28"/>
          <w:szCs w:val="28"/>
        </w:rPr>
        <w:t>1</w:t>
      </w:r>
      <w:r>
        <w:rPr>
          <w:rFonts w:ascii="仿宋" w:hAnsi="仿宋" w:eastAsia="仿宋" w:cs="宋体"/>
          <w:sz w:val="28"/>
          <w:szCs w:val="28"/>
        </w:rPr>
        <w:t>.</w:t>
      </w:r>
      <w:r>
        <w:rPr>
          <w:rFonts w:hint="eastAsia" w:ascii="仿宋" w:hAnsi="仿宋" w:eastAsia="仿宋" w:cs="宋体"/>
          <w:sz w:val="28"/>
          <w:szCs w:val="28"/>
        </w:rPr>
        <w:t>乙方赔偿甲方解除合同的全部损失（包括但不限于重新采购产生的费用、合同未履行导致设备不能使用可能产生的租赁费用及其它由此造成的甲方对第三方的违约损失）；</w:t>
      </w:r>
    </w:p>
    <w:p w14:paraId="786CA100">
      <w:pPr>
        <w:adjustRightInd w:val="0"/>
        <w:snapToGrid w:val="0"/>
        <w:spacing w:line="360" w:lineRule="auto"/>
        <w:ind w:firstLine="991" w:firstLineChars="354"/>
        <w:rPr>
          <w:rFonts w:hint="eastAsia" w:ascii="仿宋" w:hAnsi="仿宋" w:eastAsia="仿宋" w:cs="宋体"/>
          <w:sz w:val="28"/>
          <w:szCs w:val="28"/>
        </w:rPr>
      </w:pPr>
      <w:r>
        <w:rPr>
          <w:rFonts w:hint="eastAsia" w:ascii="仿宋" w:hAnsi="仿宋" w:eastAsia="仿宋" w:cs="宋体"/>
          <w:sz w:val="28"/>
          <w:szCs w:val="28"/>
        </w:rPr>
        <w:t>2</w:t>
      </w:r>
      <w:r>
        <w:rPr>
          <w:rFonts w:ascii="仿宋" w:hAnsi="仿宋" w:eastAsia="仿宋" w:cs="宋体"/>
          <w:sz w:val="28"/>
          <w:szCs w:val="28"/>
        </w:rPr>
        <w:t>.</w:t>
      </w:r>
      <w:r>
        <w:rPr>
          <w:rFonts w:hint="eastAsia" w:ascii="仿宋" w:hAnsi="仿宋" w:eastAsia="仿宋" w:cs="宋体"/>
          <w:sz w:val="28"/>
          <w:szCs w:val="28"/>
        </w:rPr>
        <w:t>乙方支付甲方违约金，违约金计算方法：以合同总价为基数，支付甲方合同总价的【5】%为违约金。</w:t>
      </w:r>
    </w:p>
    <w:p w14:paraId="7A69873D">
      <w:pPr>
        <w:adjustRightInd w:val="0"/>
        <w:snapToGrid w:val="0"/>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（三）合同履行过程中，若出现故障，乙方应于【</w:t>
      </w:r>
      <w:r>
        <w:rPr>
          <w:rFonts w:ascii="仿宋" w:hAnsi="仿宋" w:eastAsia="仿宋" w:cs="宋体"/>
          <w:sz w:val="28"/>
          <w:szCs w:val="28"/>
        </w:rPr>
        <w:t>2</w:t>
      </w:r>
      <w:r>
        <w:rPr>
          <w:rFonts w:hint="eastAsia" w:ascii="仿宋" w:hAnsi="仿宋" w:eastAsia="仿宋" w:cs="宋体"/>
          <w:sz w:val="28"/>
          <w:szCs w:val="28"/>
        </w:rPr>
        <w:t>】小时内排除故障，确保系统正常运营。否则，每超过一天，扣除乙方合同总价款的【</w:t>
      </w:r>
      <w:r>
        <w:rPr>
          <w:rFonts w:ascii="仿宋" w:hAnsi="仿宋" w:eastAsia="仿宋" w:cs="宋体"/>
          <w:sz w:val="28"/>
          <w:szCs w:val="28"/>
        </w:rPr>
        <w:t>5</w:t>
      </w:r>
      <w:r>
        <w:rPr>
          <w:rFonts w:hint="eastAsia" w:ascii="仿宋" w:hAnsi="仿宋" w:eastAsia="仿宋" w:cs="宋体"/>
          <w:sz w:val="28"/>
          <w:szCs w:val="28"/>
        </w:rPr>
        <w:t>】%作为违约金。累计超过【</w:t>
      </w:r>
      <w:r>
        <w:rPr>
          <w:rFonts w:ascii="仿宋" w:hAnsi="仿宋" w:eastAsia="仿宋" w:cs="宋体"/>
          <w:sz w:val="28"/>
          <w:szCs w:val="28"/>
        </w:rPr>
        <w:t>3</w:t>
      </w:r>
      <w:r>
        <w:rPr>
          <w:rFonts w:hint="eastAsia" w:ascii="仿宋" w:hAnsi="仿宋" w:eastAsia="仿宋" w:cs="宋体"/>
          <w:sz w:val="28"/>
          <w:szCs w:val="28"/>
        </w:rPr>
        <w:t>】日，视为乙方根本违约，甲方有权单方解除合同，解除合同书面通知书到达乙方之日视为合同已解除，并要求乙方按本条第（二）款之约定承担违约责任。</w:t>
      </w:r>
    </w:p>
    <w:p w14:paraId="3D76344F">
      <w:pPr>
        <w:adjustRightInd w:val="0"/>
        <w:snapToGrid w:val="0"/>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（四）对于本合同项下约定的需乙方支付的任何费用及合同违约金，甲方均有权利从应支付合同款项中直接扣除。</w:t>
      </w:r>
    </w:p>
    <w:p w14:paraId="7AC18BFE">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1"/>
        <w:rPr>
          <w:rFonts w:hint="eastAsia" w:ascii="仿宋" w:hAnsi="仿宋" w:eastAsia="仿宋" w:cs="宋体"/>
          <w:b/>
          <w:sz w:val="28"/>
          <w:szCs w:val="28"/>
        </w:rPr>
      </w:pPr>
      <w:r>
        <w:rPr>
          <w:rFonts w:hint="eastAsia" w:ascii="仿宋" w:hAnsi="仿宋" w:eastAsia="仿宋" w:cs="宋体"/>
          <w:b/>
          <w:sz w:val="28"/>
          <w:szCs w:val="28"/>
        </w:rPr>
        <w:t>第十条：争议解决</w:t>
      </w:r>
    </w:p>
    <w:p w14:paraId="6E24928C">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本合同在履行过程中发生的争议，由甲、乙双方当事人协商解决，协商不成的依法向</w:t>
      </w:r>
      <w:r>
        <w:rPr>
          <w:rFonts w:hint="eastAsia" w:ascii="仿宋" w:hAnsi="仿宋" w:eastAsia="仿宋"/>
          <w:sz w:val="28"/>
          <w:szCs w:val="28"/>
          <w:u w:val="single"/>
        </w:rPr>
        <w:t xml:space="preserve">  甲方</w:t>
      </w:r>
      <w:r>
        <w:rPr>
          <w:rFonts w:hint="eastAsia" w:ascii="仿宋" w:hAnsi="仿宋" w:eastAsia="仿宋"/>
          <w:sz w:val="28"/>
          <w:szCs w:val="28"/>
        </w:rPr>
        <w:t>所在地人民法院起诉。</w:t>
      </w:r>
    </w:p>
    <w:p w14:paraId="0C16E7B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1"/>
        <w:rPr>
          <w:rFonts w:hint="eastAsia" w:ascii="仿宋" w:hAnsi="仿宋" w:eastAsia="仿宋" w:cs="宋体"/>
          <w:b/>
          <w:sz w:val="28"/>
          <w:szCs w:val="28"/>
        </w:rPr>
      </w:pPr>
      <w:r>
        <w:rPr>
          <w:rFonts w:hint="eastAsia" w:ascii="仿宋" w:hAnsi="仿宋" w:eastAsia="仿宋" w:cs="宋体"/>
          <w:b/>
          <w:sz w:val="28"/>
          <w:szCs w:val="28"/>
        </w:rPr>
        <w:t>第十一条：合同组成</w:t>
      </w:r>
    </w:p>
    <w:p w14:paraId="65C33B41">
      <w:pPr>
        <w:adjustRightInd w:val="0"/>
        <w:snapToGrid w:val="0"/>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1、国家相关规范及标准</w:t>
      </w:r>
    </w:p>
    <w:p w14:paraId="0DC5112C">
      <w:pPr>
        <w:adjustRightInd w:val="0"/>
        <w:snapToGrid w:val="0"/>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2、合同文件</w:t>
      </w:r>
    </w:p>
    <w:p w14:paraId="5C306F51">
      <w:pPr>
        <w:adjustRightInd w:val="0"/>
        <w:snapToGrid w:val="0"/>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3、成交通知书</w:t>
      </w:r>
    </w:p>
    <w:p w14:paraId="214DC8DD">
      <w:pPr>
        <w:adjustRightInd w:val="0"/>
        <w:snapToGrid w:val="0"/>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4．谈判响应文件</w:t>
      </w:r>
    </w:p>
    <w:p w14:paraId="401F8D2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1"/>
        <w:rPr>
          <w:rFonts w:hint="eastAsia" w:ascii="仿宋" w:hAnsi="仿宋" w:eastAsia="仿宋" w:cs="宋体"/>
          <w:b/>
          <w:sz w:val="28"/>
          <w:szCs w:val="28"/>
        </w:rPr>
      </w:pPr>
      <w:r>
        <w:rPr>
          <w:rFonts w:hint="eastAsia" w:ascii="仿宋" w:hAnsi="仿宋" w:eastAsia="仿宋" w:cs="宋体"/>
          <w:b/>
          <w:sz w:val="28"/>
          <w:szCs w:val="28"/>
        </w:rPr>
        <w:t>第十二条</w:t>
      </w:r>
      <w:r>
        <w:rPr>
          <w:rFonts w:hint="eastAsia" w:ascii="仿宋" w:hAnsi="仿宋" w:eastAsia="仿宋" w:cs="宋体"/>
          <w:b/>
          <w:sz w:val="28"/>
          <w:szCs w:val="28"/>
          <w:lang w:eastAsia="zh-CN"/>
        </w:rPr>
        <w:t>：</w:t>
      </w:r>
      <w:r>
        <w:rPr>
          <w:rFonts w:hint="eastAsia" w:ascii="仿宋" w:hAnsi="仿宋" w:eastAsia="仿宋" w:cs="宋体"/>
          <w:b/>
          <w:sz w:val="28"/>
          <w:szCs w:val="28"/>
        </w:rPr>
        <w:t>合同生效及其它</w:t>
      </w:r>
    </w:p>
    <w:p w14:paraId="15777E05">
      <w:pPr>
        <w:adjustRightInd w:val="0"/>
        <w:snapToGrid w:val="0"/>
        <w:spacing w:line="360" w:lineRule="auto"/>
        <w:ind w:firstLine="560" w:firstLineChars="200"/>
        <w:rPr>
          <w:rFonts w:hint="eastAsia" w:ascii="仿宋" w:hAnsi="仿宋" w:eastAsia="仿宋" w:cs="宋体"/>
          <w:sz w:val="28"/>
          <w:szCs w:val="28"/>
        </w:rPr>
      </w:pPr>
      <w:r>
        <w:rPr>
          <w:rFonts w:ascii="仿宋" w:hAnsi="仿宋" w:eastAsia="仿宋" w:cs="宋体"/>
          <w:sz w:val="28"/>
          <w:szCs w:val="28"/>
        </w:rPr>
        <w:t>1.本合同一式【</w:t>
      </w:r>
      <w:r>
        <w:rPr>
          <w:rFonts w:hint="eastAsia" w:ascii="仿宋" w:hAnsi="仿宋" w:eastAsia="仿宋" w:cs="宋体"/>
          <w:sz w:val="28"/>
          <w:szCs w:val="28"/>
        </w:rPr>
        <w:t>4</w:t>
      </w:r>
      <w:r>
        <w:rPr>
          <w:rFonts w:ascii="仿宋" w:hAnsi="仿宋" w:eastAsia="仿宋" w:cs="宋体"/>
          <w:sz w:val="28"/>
          <w:szCs w:val="28"/>
        </w:rPr>
        <w:t>】份，甲方执【</w:t>
      </w:r>
      <w:r>
        <w:rPr>
          <w:rFonts w:hint="eastAsia" w:ascii="仿宋" w:hAnsi="仿宋" w:eastAsia="仿宋" w:cs="宋体"/>
          <w:sz w:val="28"/>
          <w:szCs w:val="28"/>
        </w:rPr>
        <w:t>2</w:t>
      </w:r>
      <w:r>
        <w:rPr>
          <w:rFonts w:ascii="仿宋" w:hAnsi="仿宋" w:eastAsia="仿宋" w:cs="宋体"/>
          <w:sz w:val="28"/>
          <w:szCs w:val="28"/>
        </w:rPr>
        <w:t>】份，乙方执【</w:t>
      </w:r>
      <w:r>
        <w:rPr>
          <w:rFonts w:hint="eastAsia" w:ascii="仿宋" w:hAnsi="仿宋" w:eastAsia="仿宋" w:cs="宋体"/>
          <w:sz w:val="28"/>
          <w:szCs w:val="28"/>
        </w:rPr>
        <w:t>2</w:t>
      </w:r>
      <w:r>
        <w:rPr>
          <w:rFonts w:ascii="仿宋" w:hAnsi="仿宋" w:eastAsia="仿宋" w:cs="宋体"/>
          <w:sz w:val="28"/>
          <w:szCs w:val="28"/>
        </w:rPr>
        <w:t>】份，本合同甲、乙双方签字盖章后生效，合同执行完毕后，自动终止（合同的服务承诺则长期有效）。</w:t>
      </w:r>
    </w:p>
    <w:p w14:paraId="242A3FAA">
      <w:pPr>
        <w:adjustRightInd w:val="0"/>
        <w:snapToGrid w:val="0"/>
        <w:spacing w:line="360" w:lineRule="auto"/>
        <w:ind w:firstLine="560" w:firstLineChars="200"/>
        <w:rPr>
          <w:rFonts w:hint="eastAsia" w:ascii="仿宋" w:hAnsi="仿宋" w:eastAsia="仿宋" w:cs="宋体"/>
          <w:sz w:val="28"/>
          <w:szCs w:val="28"/>
        </w:rPr>
      </w:pPr>
      <w:r>
        <w:rPr>
          <w:rFonts w:ascii="仿宋" w:hAnsi="仿宋" w:eastAsia="仿宋" w:cs="宋体"/>
          <w:sz w:val="28"/>
          <w:szCs w:val="28"/>
        </w:rPr>
        <w:t>2.合同未尽事宜，由甲、乙双方协商，另行签订补充协议，补充协议与原合同具有同等法律效力。</w:t>
      </w:r>
    </w:p>
    <w:p w14:paraId="03D918EE">
      <w:pPr>
        <w:adjustRightInd w:val="0"/>
        <w:snapToGrid w:val="0"/>
        <w:spacing w:line="360" w:lineRule="auto"/>
        <w:ind w:firstLine="560" w:firstLineChars="200"/>
        <w:rPr>
          <w:rFonts w:hint="eastAsia" w:ascii="仿宋" w:hAnsi="仿宋" w:eastAsia="仿宋" w:cs="宋体"/>
          <w:sz w:val="28"/>
          <w:szCs w:val="28"/>
        </w:rPr>
      </w:pPr>
      <w:r>
        <w:rPr>
          <w:rFonts w:ascii="仿宋" w:hAnsi="仿宋" w:eastAsia="仿宋" w:cs="宋体"/>
          <w:sz w:val="28"/>
          <w:szCs w:val="28"/>
        </w:rPr>
        <w:t>3.本合同一方给另一方的通知，都应以书面的形式（信函、传真）发送至对方，本合同签字页填写信息为双方有效送达信息，书面通知寄出后3日内或电子数据发出成功后，无论对方是否签收即视为送达。任何一方变更本合同约定送达地址及联系方式等信息应及时通知对方，否则，原信息仍为有效信息。</w:t>
      </w:r>
    </w:p>
    <w:p w14:paraId="685A5DB2">
      <w:pPr>
        <w:jc w:val="center"/>
      </w:pPr>
      <w:r>
        <w:rPr>
          <w:rFonts w:hint="eastAsia" w:ascii="仿宋" w:hAnsi="仿宋" w:eastAsia="仿宋" w:cs="宋体"/>
          <w:sz w:val="28"/>
          <w:szCs w:val="28"/>
          <w:lang w:val="en-US" w:eastAsia="zh-CN"/>
        </w:rPr>
        <w:t>（以</w:t>
      </w:r>
      <w:r>
        <w:rPr>
          <w:rFonts w:ascii="仿宋" w:hAnsi="仿宋" w:eastAsia="仿宋" w:cs="宋体"/>
          <w:sz w:val="28"/>
          <w:szCs w:val="28"/>
        </w:rPr>
        <w:t>下无正文）</w:t>
      </w:r>
    </w:p>
    <w:p w14:paraId="6DC97005">
      <w:pPr>
        <w:ind w:left="6746" w:right="-424" w:rightChars="-202" w:hanging="6746" w:hangingChars="2800"/>
        <w:jc w:val="left"/>
        <w:rPr>
          <w:rFonts w:hint="eastAsia" w:ascii="仿宋" w:hAnsi="仿宋" w:eastAsia="仿宋" w:cs="宋体"/>
          <w:color w:val="000000"/>
          <w:sz w:val="24"/>
        </w:rPr>
      </w:pPr>
      <w:r>
        <w:rPr>
          <w:rFonts w:hint="eastAsia" w:ascii="仿宋" w:hAnsi="仿宋" w:eastAsia="仿宋" w:cs="宋体"/>
          <w:b/>
          <w:color w:val="000000"/>
          <w:sz w:val="24"/>
        </w:rPr>
        <w:t>甲方（盖章）：</w:t>
      </w:r>
      <w:r>
        <w:rPr>
          <w:rFonts w:hint="eastAsia" w:ascii="仿宋" w:hAnsi="仿宋" w:eastAsia="仿宋" w:cs="宋体"/>
          <w:color w:val="000000"/>
          <w:sz w:val="24"/>
        </w:rPr>
        <w:t xml:space="preserve">                     </w:t>
      </w:r>
      <w:r>
        <w:rPr>
          <w:rFonts w:ascii="仿宋" w:hAnsi="仿宋" w:eastAsia="仿宋" w:cs="宋体"/>
          <w:color w:val="000000"/>
          <w:sz w:val="24"/>
        </w:rPr>
        <w:t xml:space="preserve">   </w:t>
      </w:r>
      <w:r>
        <w:rPr>
          <w:rFonts w:hint="eastAsia" w:ascii="仿宋" w:hAnsi="仿宋" w:eastAsia="仿宋"/>
          <w:b/>
          <w:bCs/>
          <w:sz w:val="24"/>
        </w:rPr>
        <w:t>乙方</w:t>
      </w:r>
      <w:r>
        <w:rPr>
          <w:rFonts w:hint="eastAsia" w:ascii="仿宋" w:hAnsi="仿宋" w:eastAsia="仿宋" w:cs="宋体"/>
          <w:b/>
          <w:color w:val="000000"/>
          <w:sz w:val="24"/>
        </w:rPr>
        <w:t>（盖章）：</w:t>
      </w:r>
      <w:r>
        <w:rPr>
          <w:rFonts w:hint="eastAsia" w:ascii="仿宋" w:hAnsi="仿宋" w:eastAsia="仿宋"/>
          <w:sz w:val="24"/>
        </w:rPr>
        <w:t xml:space="preserve"> </w:t>
      </w:r>
    </w:p>
    <w:p w14:paraId="63DB6168">
      <w:pPr>
        <w:spacing w:line="480" w:lineRule="exact"/>
        <w:rPr>
          <w:rFonts w:hint="eastAsia" w:ascii="仿宋" w:hAnsi="仿宋" w:eastAsia="仿宋" w:cs="宋体"/>
          <w:color w:val="000000"/>
          <w:sz w:val="24"/>
        </w:rPr>
      </w:pPr>
    </w:p>
    <w:p w14:paraId="7234BAB4">
      <w:pPr>
        <w:spacing w:line="480" w:lineRule="exact"/>
        <w:rPr>
          <w:rFonts w:hint="eastAsia" w:ascii="仿宋" w:hAnsi="仿宋" w:eastAsia="仿宋" w:cs="宋体"/>
          <w:color w:val="000000"/>
          <w:sz w:val="24"/>
        </w:rPr>
      </w:pPr>
      <w:r>
        <w:rPr>
          <w:rFonts w:ascii="仿宋" w:hAnsi="仿宋" w:eastAsia="仿宋" w:cs="宋体"/>
          <w:color w:val="000000"/>
          <w:sz w:val="24"/>
        </w:rPr>
        <w:t>地址：</w:t>
      </w:r>
      <w:r>
        <w:rPr>
          <w:rFonts w:ascii="仿宋" w:hAnsi="仿宋" w:eastAsia="仿宋" w:cs="宋体"/>
          <w:color w:val="000000"/>
          <w:sz w:val="24"/>
        </w:rPr>
        <w:tab/>
      </w:r>
      <w:r>
        <w:rPr>
          <w:rFonts w:ascii="仿宋" w:hAnsi="仿宋" w:eastAsia="仿宋" w:cs="宋体"/>
          <w:color w:val="000000"/>
          <w:sz w:val="24"/>
        </w:rPr>
        <w:tab/>
      </w:r>
      <w:r>
        <w:rPr>
          <w:rFonts w:ascii="仿宋" w:hAnsi="仿宋" w:eastAsia="仿宋" w:cs="宋体"/>
          <w:color w:val="000000"/>
          <w:sz w:val="24"/>
        </w:rPr>
        <w:tab/>
      </w:r>
      <w:r>
        <w:rPr>
          <w:rFonts w:ascii="仿宋" w:hAnsi="仿宋" w:eastAsia="仿宋" w:cs="宋体"/>
          <w:color w:val="000000"/>
          <w:sz w:val="24"/>
        </w:rPr>
        <w:tab/>
      </w:r>
      <w:r>
        <w:rPr>
          <w:rFonts w:ascii="仿宋" w:hAnsi="仿宋" w:eastAsia="仿宋" w:cs="宋体"/>
          <w:color w:val="000000"/>
          <w:sz w:val="24"/>
        </w:rPr>
        <w:tab/>
      </w:r>
      <w:r>
        <w:rPr>
          <w:rFonts w:ascii="仿宋" w:hAnsi="仿宋" w:eastAsia="仿宋" w:cs="宋体"/>
          <w:color w:val="000000"/>
          <w:sz w:val="24"/>
        </w:rPr>
        <w:tab/>
      </w:r>
      <w:r>
        <w:rPr>
          <w:rFonts w:ascii="仿宋" w:hAnsi="仿宋" w:eastAsia="仿宋" w:cs="宋体"/>
          <w:color w:val="000000"/>
          <w:sz w:val="24"/>
        </w:rPr>
        <w:tab/>
      </w:r>
      <w:r>
        <w:rPr>
          <w:rFonts w:ascii="仿宋" w:hAnsi="仿宋" w:eastAsia="仿宋" w:cs="宋体"/>
          <w:color w:val="000000"/>
          <w:sz w:val="24"/>
        </w:rPr>
        <w:tab/>
      </w:r>
      <w:r>
        <w:rPr>
          <w:rFonts w:ascii="仿宋" w:hAnsi="仿宋" w:eastAsia="仿宋" w:cs="宋体"/>
          <w:color w:val="000000"/>
          <w:sz w:val="24"/>
        </w:rPr>
        <w:tab/>
      </w:r>
      <w:r>
        <w:rPr>
          <w:rFonts w:ascii="仿宋" w:hAnsi="仿宋" w:eastAsia="仿宋" w:cs="宋体"/>
          <w:color w:val="000000"/>
          <w:sz w:val="24"/>
        </w:rPr>
        <w:t xml:space="preserve">   地址：</w:t>
      </w:r>
    </w:p>
    <w:p w14:paraId="6BEB891E">
      <w:pPr>
        <w:spacing w:line="480" w:lineRule="exact"/>
        <w:rPr>
          <w:rFonts w:hint="eastAsia" w:ascii="仿宋" w:hAnsi="仿宋" w:eastAsia="仿宋" w:cs="宋体"/>
          <w:color w:val="000000"/>
          <w:sz w:val="24"/>
        </w:rPr>
      </w:pPr>
    </w:p>
    <w:p w14:paraId="45F83C4F">
      <w:pPr>
        <w:spacing w:line="480" w:lineRule="exact"/>
        <w:rPr>
          <w:rFonts w:hint="eastAsia" w:ascii="仿宋" w:hAnsi="仿宋" w:eastAsia="仿宋" w:cs="宋体"/>
          <w:color w:val="000000"/>
          <w:sz w:val="24"/>
        </w:rPr>
      </w:pPr>
      <w:r>
        <w:rPr>
          <w:rFonts w:hint="eastAsia" w:ascii="仿宋" w:hAnsi="仿宋" w:eastAsia="仿宋" w:cs="宋体"/>
          <w:color w:val="000000"/>
          <w:sz w:val="24"/>
        </w:rPr>
        <w:t xml:space="preserve">院长（签章）： </w:t>
      </w:r>
      <w:r>
        <w:rPr>
          <w:rFonts w:ascii="仿宋" w:hAnsi="仿宋" w:eastAsia="仿宋" w:cs="宋体"/>
          <w:color w:val="000000"/>
          <w:sz w:val="24"/>
        </w:rPr>
        <w:t xml:space="preserve">                              </w:t>
      </w:r>
      <w:r>
        <w:rPr>
          <w:rFonts w:hint="eastAsia" w:ascii="仿宋" w:hAnsi="仿宋" w:eastAsia="仿宋" w:cs="宋体"/>
          <w:color w:val="000000"/>
          <w:sz w:val="24"/>
        </w:rPr>
        <w:t>法定代表人（签章）：</w:t>
      </w:r>
    </w:p>
    <w:p w14:paraId="5F2E78A4">
      <w:pPr>
        <w:spacing w:line="480" w:lineRule="exact"/>
        <w:rPr>
          <w:rFonts w:hint="eastAsia" w:ascii="仿宋" w:hAnsi="仿宋" w:eastAsia="仿宋" w:cs="宋体"/>
          <w:color w:val="000000"/>
          <w:sz w:val="24"/>
        </w:rPr>
      </w:pPr>
    </w:p>
    <w:p w14:paraId="14D71288">
      <w:pPr>
        <w:pStyle w:val="2"/>
        <w:rPr>
          <w:rFonts w:hint="eastAsia" w:ascii="仿宋" w:hAnsi="仿宋" w:eastAsia="仿宋"/>
        </w:rPr>
      </w:pPr>
      <w:r>
        <w:rPr>
          <w:rFonts w:ascii="仿宋" w:hAnsi="仿宋" w:eastAsia="仿宋"/>
        </w:rPr>
        <w:t>主管院长</w:t>
      </w:r>
    </w:p>
    <w:p w14:paraId="19EEB4EA"/>
    <w:p w14:paraId="76F7C22C">
      <w:pPr>
        <w:spacing w:line="360" w:lineRule="auto"/>
        <w:rPr>
          <w:rFonts w:hint="eastAsia" w:ascii="仿宋" w:hAnsi="仿宋" w:eastAsia="仿宋" w:cs="宋体"/>
          <w:color w:val="000000"/>
          <w:sz w:val="24"/>
        </w:rPr>
      </w:pPr>
      <w:r>
        <w:rPr>
          <w:rFonts w:hint="eastAsia" w:ascii="仿宋" w:hAnsi="仿宋" w:eastAsia="仿宋" w:cs="宋体"/>
          <w:color w:val="000000"/>
          <w:sz w:val="24"/>
        </w:rPr>
        <w:t xml:space="preserve">经办人： </w:t>
      </w:r>
      <w:r>
        <w:rPr>
          <w:rFonts w:ascii="仿宋" w:hAnsi="仿宋" w:eastAsia="仿宋" w:cs="宋体"/>
          <w:color w:val="000000"/>
          <w:sz w:val="24"/>
        </w:rPr>
        <w:t xml:space="preserve">                                    </w:t>
      </w:r>
      <w:r>
        <w:rPr>
          <w:rFonts w:hint="eastAsia" w:ascii="仿宋" w:hAnsi="仿宋" w:eastAsia="仿宋" w:cs="宋体"/>
          <w:color w:val="000000"/>
          <w:sz w:val="24"/>
        </w:rPr>
        <w:t>经办人：</w:t>
      </w:r>
    </w:p>
    <w:p w14:paraId="19E101B5">
      <w:pPr>
        <w:spacing w:line="360" w:lineRule="auto"/>
        <w:jc w:val="left"/>
        <w:rPr>
          <w:rFonts w:hint="eastAsia" w:ascii="仿宋" w:hAnsi="仿宋" w:eastAsia="仿宋" w:cs="宋体"/>
          <w:color w:val="000000"/>
          <w:sz w:val="24"/>
        </w:rPr>
      </w:pPr>
      <w:r>
        <w:rPr>
          <w:rFonts w:hint="eastAsia" w:ascii="仿宋" w:hAnsi="仿宋" w:eastAsia="仿宋" w:cs="宋体"/>
          <w:color w:val="000000"/>
          <w:sz w:val="24"/>
        </w:rPr>
        <w:t xml:space="preserve">年   月    日            </w:t>
      </w:r>
      <w:r>
        <w:rPr>
          <w:rFonts w:ascii="仿宋" w:hAnsi="仿宋" w:eastAsia="仿宋" w:cs="宋体"/>
          <w:color w:val="000000"/>
          <w:sz w:val="24"/>
        </w:rPr>
        <w:t xml:space="preserve">                    </w:t>
      </w:r>
      <w:r>
        <w:rPr>
          <w:rFonts w:hint="eastAsia" w:ascii="仿宋" w:hAnsi="仿宋" w:eastAsia="仿宋" w:cs="宋体"/>
          <w:color w:val="000000"/>
          <w:sz w:val="24"/>
        </w:rPr>
        <w:t xml:space="preserve">年   月    日   </w:t>
      </w:r>
    </w:p>
    <w:p w14:paraId="56D76435">
      <w:pPr>
        <w:pStyle w:val="11"/>
        <w:ind w:firstLine="400"/>
        <w:sectPr>
          <w:footerReference r:id="rId5" w:type="default"/>
          <w:pgSz w:w="11906" w:h="16838"/>
          <w:pgMar w:top="1440" w:right="1800" w:bottom="1440" w:left="1800" w:header="851" w:footer="992" w:gutter="0"/>
          <w:pgNumType w:start="1"/>
          <w:cols w:space="425" w:num="1"/>
          <w:docGrid w:type="lines" w:linePitch="312" w:charSpace="0"/>
        </w:sectPr>
      </w:pPr>
    </w:p>
    <w:p w14:paraId="0F49247D">
      <w:pPr>
        <w:pStyle w:val="11"/>
        <w:keepNext w:val="0"/>
        <w:keepLines w:val="0"/>
        <w:pageBreakBefore w:val="0"/>
        <w:widowControl w:val="0"/>
        <w:kinsoku/>
        <w:wordWrap/>
        <w:overflowPunct/>
        <w:topLinePunct w:val="0"/>
        <w:autoSpaceDE/>
        <w:autoSpaceDN/>
        <w:bidi w:val="0"/>
        <w:adjustRightInd/>
        <w:snapToGrid/>
        <w:spacing w:after="157" w:afterLines="50" w:line="360" w:lineRule="auto"/>
        <w:ind w:left="0" w:firstLine="643"/>
        <w:jc w:val="center"/>
        <w:textAlignment w:val="auto"/>
        <w:outlineLvl w:val="0"/>
        <w:rPr>
          <w:rFonts w:hint="eastAsia" w:ascii="宋体" w:hAnsi="宋体" w:cs="宋体"/>
          <w:sz w:val="24"/>
        </w:rPr>
      </w:pPr>
      <w:r>
        <w:rPr>
          <w:rFonts w:hint="eastAsia" w:ascii="宋体" w:hAnsi="宋体" w:cs="宋体"/>
          <w:b/>
          <w:sz w:val="32"/>
          <w:szCs w:val="32"/>
        </w:rPr>
        <w:t>第</w:t>
      </w:r>
      <w:r>
        <w:rPr>
          <w:rFonts w:hint="eastAsia" w:ascii="宋体" w:hAnsi="宋体" w:cs="宋体"/>
          <w:b/>
          <w:sz w:val="32"/>
          <w:szCs w:val="32"/>
          <w:lang w:val="en-US" w:eastAsia="zh-CN"/>
        </w:rPr>
        <w:t>四</w:t>
      </w:r>
      <w:r>
        <w:rPr>
          <w:rFonts w:hint="eastAsia" w:ascii="宋体" w:hAnsi="宋体" w:cs="宋体"/>
          <w:b/>
          <w:sz w:val="32"/>
          <w:szCs w:val="32"/>
        </w:rPr>
        <w:t>章  响应</w:t>
      </w:r>
      <w:r>
        <w:rPr>
          <w:rFonts w:hint="eastAsia" w:ascii="宋体" w:hAnsi="宋体" w:cs="宋体"/>
          <w:b/>
          <w:bCs/>
          <w:sz w:val="32"/>
          <w:szCs w:val="32"/>
        </w:rPr>
        <w:t>文件编制与装订</w:t>
      </w:r>
      <w:bookmarkStart w:id="1" w:name="_Toc20354"/>
    </w:p>
    <w:bookmarkEnd w:id="1"/>
    <w:p w14:paraId="040993D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sz w:val="24"/>
        </w:rPr>
      </w:pPr>
      <w:bookmarkStart w:id="2" w:name="_Toc9948"/>
      <w:r>
        <w:rPr>
          <w:rFonts w:hint="eastAsia" w:ascii="宋体" w:hAnsi="宋体" w:cs="宋体"/>
          <w:sz w:val="24"/>
        </w:rPr>
        <w:t>1、响应文件为一正两副，正本和副本均需用A4纸打印，字迹应清晰易于辨认，并应在响应文件封面的右上角清楚地注明“正本”或“副本”。</w:t>
      </w:r>
      <w:r>
        <w:rPr>
          <w:rFonts w:hint="eastAsia" w:ascii="宋体" w:hAnsi="宋体" w:cs="宋体"/>
          <w:b/>
          <w:bCs/>
          <w:sz w:val="24"/>
        </w:rPr>
        <w:t>正副本每页均需加盖鲜章，副本可以是复印件，但盖章应是鲜章。</w:t>
      </w:r>
      <w:r>
        <w:rPr>
          <w:rFonts w:hint="eastAsia" w:ascii="宋体" w:hAnsi="宋体" w:cs="宋体"/>
          <w:sz w:val="24"/>
        </w:rPr>
        <w:t>正副本应分别胶装成册，装订应牢固、不易拆散和换页，不得采用活页装订。</w:t>
      </w:r>
    </w:p>
    <w:p w14:paraId="7E78B2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sz w:val="24"/>
        </w:rPr>
      </w:pPr>
      <w:r>
        <w:rPr>
          <w:rFonts w:hint="eastAsia" w:ascii="宋体" w:hAnsi="宋体" w:cs="宋体"/>
          <w:sz w:val="24"/>
        </w:rPr>
        <w:t>2、响应文件封面及其它有要求的部位应加盖供应商盖章并经法定代表人或其委托代理人签字或盖章。由委托代理人签字或盖章的响应文件中须同时提交供应商签署的授权代理委托书。供应商签署授权代理委托书格式、签字、盖章、及内容均应符合要求，否则响应文件签署授权代理委托书无效。响应文件不得存在涂改、行间插字或删除的情况。如果出现上述情况，按废标处理。</w:t>
      </w:r>
    </w:p>
    <w:bookmarkEnd w:id="2"/>
    <w:p w14:paraId="77746364">
      <w:pPr>
        <w:keepNext w:val="0"/>
        <w:keepLines w:val="0"/>
        <w:pageBreakBefore w:val="0"/>
        <w:widowControl w:val="0"/>
        <w:kinsoku/>
        <w:wordWrap/>
        <w:overflowPunct/>
        <w:topLinePunct w:val="0"/>
        <w:autoSpaceDE/>
        <w:autoSpaceDN/>
        <w:bidi w:val="0"/>
        <w:spacing w:line="360" w:lineRule="auto"/>
        <w:ind w:firstLine="482" w:firstLineChars="200"/>
        <w:textAlignment w:val="auto"/>
        <w:rPr>
          <w:rStyle w:val="20"/>
          <w:rFonts w:hint="eastAsia" w:ascii="宋体" w:hAnsi="宋体" w:cs="宋体"/>
          <w:kern w:val="0"/>
          <w:sz w:val="24"/>
        </w:rPr>
      </w:pPr>
      <w:r>
        <w:rPr>
          <w:rStyle w:val="20"/>
          <w:rFonts w:hint="eastAsia" w:ascii="宋体" w:hAnsi="宋体" w:cs="宋体"/>
          <w:b/>
          <w:bCs/>
          <w:kern w:val="0"/>
          <w:sz w:val="24"/>
        </w:rPr>
        <w:t>3、响应文件的正副本应密封于一个密封袋内；封口密封骑缝处应加盖供应商单位公章，密封袋正面标明投标名称、响应文件启封时间、供应商名称（加盖鲜章），并按投标日程规定日期送至指定地点。</w:t>
      </w:r>
      <w:r>
        <w:rPr>
          <w:rStyle w:val="20"/>
          <w:rFonts w:hint="eastAsia" w:ascii="宋体" w:hAnsi="宋体" w:cs="宋体"/>
          <w:kern w:val="0"/>
          <w:sz w:val="24"/>
        </w:rPr>
        <w:t xml:space="preserve"> </w:t>
      </w:r>
    </w:p>
    <w:p w14:paraId="4715EFEF">
      <w:pPr>
        <w:keepNext w:val="0"/>
        <w:keepLines w:val="0"/>
        <w:pageBreakBefore w:val="0"/>
        <w:widowControl w:val="0"/>
        <w:kinsoku/>
        <w:wordWrap/>
        <w:overflowPunct/>
        <w:topLinePunct w:val="0"/>
        <w:autoSpaceDE/>
        <w:autoSpaceDN/>
        <w:bidi w:val="0"/>
        <w:spacing w:line="360" w:lineRule="auto"/>
        <w:ind w:firstLine="480" w:firstLineChars="200"/>
        <w:textAlignment w:val="auto"/>
        <w:rPr>
          <w:rStyle w:val="20"/>
          <w:rFonts w:hint="eastAsia" w:ascii="宋体" w:hAnsi="宋体" w:cs="宋体"/>
          <w:kern w:val="0"/>
          <w:sz w:val="24"/>
        </w:rPr>
      </w:pPr>
      <w:r>
        <w:rPr>
          <w:rStyle w:val="20"/>
          <w:rFonts w:hint="eastAsia" w:ascii="宋体" w:hAnsi="宋体" w:cs="宋体"/>
          <w:kern w:val="0"/>
          <w:sz w:val="24"/>
        </w:rPr>
        <w:t xml:space="preserve">4、供应商在响应文件截止递交时间之前可书面修改或撤销，迟交或未按规定密封的不予接受。 </w:t>
      </w:r>
    </w:p>
    <w:p w14:paraId="41D24CB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宋体"/>
          <w:b/>
          <w:sz w:val="32"/>
          <w:szCs w:val="32"/>
        </w:rPr>
        <w:sectPr>
          <w:pgSz w:w="11906" w:h="16838"/>
          <w:pgMar w:top="1440" w:right="1800" w:bottom="1440" w:left="1800" w:header="851" w:footer="992" w:gutter="0"/>
          <w:cols w:space="425" w:num="1"/>
          <w:docGrid w:type="lines" w:linePitch="312" w:charSpace="0"/>
        </w:sectPr>
      </w:pPr>
      <w:r>
        <w:rPr>
          <w:rStyle w:val="20"/>
          <w:rFonts w:hint="eastAsia" w:ascii="宋体" w:hAnsi="宋体" w:cs="宋体"/>
          <w:kern w:val="0"/>
          <w:sz w:val="24"/>
        </w:rPr>
        <w:t>5、响应文件有效期为自开标之日起算九十（90）个日历日，中标候选人的响应文件有效期延长至合同执行完毕。</w:t>
      </w:r>
    </w:p>
    <w:p w14:paraId="48EC9D6A">
      <w:pPr>
        <w:pStyle w:val="11"/>
        <w:ind w:left="0" w:leftChars="0" w:firstLine="0" w:firstLineChars="0"/>
      </w:pPr>
    </w:p>
    <w:p w14:paraId="385FC739">
      <w:pPr>
        <w:pStyle w:val="11"/>
        <w:keepNext w:val="0"/>
        <w:keepLines w:val="0"/>
        <w:pageBreakBefore w:val="0"/>
        <w:widowControl w:val="0"/>
        <w:kinsoku/>
        <w:wordWrap/>
        <w:overflowPunct/>
        <w:topLinePunct w:val="0"/>
        <w:autoSpaceDE/>
        <w:autoSpaceDN/>
        <w:bidi w:val="0"/>
        <w:adjustRightInd/>
        <w:snapToGrid/>
        <w:spacing w:line="360" w:lineRule="auto"/>
        <w:ind w:left="0" w:firstLine="643"/>
        <w:jc w:val="center"/>
        <w:textAlignment w:val="auto"/>
        <w:outlineLvl w:val="0"/>
        <w:rPr>
          <w:rFonts w:hint="eastAsia" w:ascii="宋体" w:hAnsi="宋体" w:cs="宋体"/>
          <w:b/>
          <w:sz w:val="32"/>
          <w:szCs w:val="32"/>
        </w:rPr>
      </w:pPr>
      <w:r>
        <w:rPr>
          <w:rFonts w:hint="eastAsia" w:ascii="宋体" w:hAnsi="宋体" w:cs="宋体"/>
          <w:b/>
          <w:sz w:val="32"/>
          <w:szCs w:val="32"/>
        </w:rPr>
        <w:t>第</w:t>
      </w:r>
      <w:r>
        <w:rPr>
          <w:rFonts w:hint="eastAsia" w:ascii="宋体" w:hAnsi="宋体" w:cs="宋体"/>
          <w:b/>
          <w:sz w:val="32"/>
          <w:szCs w:val="32"/>
          <w:lang w:val="en-US" w:eastAsia="zh-CN"/>
        </w:rPr>
        <w:t>五</w:t>
      </w:r>
      <w:r>
        <w:rPr>
          <w:rFonts w:hint="eastAsia" w:ascii="宋体" w:hAnsi="宋体" w:cs="宋体"/>
          <w:b/>
          <w:sz w:val="32"/>
          <w:szCs w:val="32"/>
        </w:rPr>
        <w:t>章  响应文件格式</w:t>
      </w:r>
    </w:p>
    <w:p w14:paraId="4D6A95C5">
      <w:pPr>
        <w:shd w:val="clear" w:color="auto" w:fill="FFFFFF"/>
        <w:spacing w:line="360" w:lineRule="auto"/>
        <w:jc w:val="left"/>
        <w:rPr>
          <w:rStyle w:val="20"/>
          <w:rFonts w:hint="eastAsia" w:ascii="宋体" w:hAnsi="宋体" w:cs="宋体"/>
          <w:kern w:val="0"/>
          <w:sz w:val="28"/>
          <w:szCs w:val="28"/>
        </w:rPr>
      </w:pPr>
      <w:r>
        <w:rPr>
          <w:rStyle w:val="20"/>
          <w:rFonts w:hint="eastAsia" w:ascii="宋体" w:hAnsi="宋体" w:cs="宋体"/>
          <w:b/>
          <w:sz w:val="28"/>
          <w:szCs w:val="28"/>
        </w:rPr>
        <w:t>项目编号：</w:t>
      </w:r>
      <w:r>
        <w:rPr>
          <w:rStyle w:val="20"/>
          <w:rFonts w:hint="eastAsia" w:ascii="宋体" w:hAnsi="宋体" w:cs="宋体"/>
          <w:b/>
          <w:sz w:val="28"/>
          <w:szCs w:val="28"/>
          <w:lang w:eastAsia="zh-CN"/>
        </w:rPr>
        <w:t>SZRFYZB202410-186</w:t>
      </w:r>
      <w:r>
        <w:rPr>
          <w:rStyle w:val="20"/>
          <w:rFonts w:hint="eastAsia" w:ascii="宋体" w:hAnsi="宋体" w:cs="宋体"/>
          <w:b/>
          <w:color w:val="FF0000"/>
          <w:sz w:val="28"/>
          <w:szCs w:val="28"/>
        </w:rPr>
        <w:t xml:space="preserve">                       </w:t>
      </w:r>
      <w:r>
        <w:rPr>
          <w:rStyle w:val="20"/>
          <w:rFonts w:hint="eastAsia" w:ascii="宋体" w:hAnsi="宋体" w:cs="宋体"/>
          <w:b/>
          <w:sz w:val="28"/>
          <w:szCs w:val="28"/>
        </w:rPr>
        <w:t>正本/副本</w:t>
      </w:r>
    </w:p>
    <w:p w14:paraId="0D008C06">
      <w:pPr>
        <w:shd w:val="clear" w:color="auto" w:fill="FFFFFF"/>
        <w:spacing w:line="360" w:lineRule="auto"/>
        <w:ind w:firstLine="480" w:firstLineChars="200"/>
        <w:jc w:val="center"/>
        <w:rPr>
          <w:rStyle w:val="20"/>
          <w:rFonts w:hint="eastAsia" w:ascii="宋体" w:hAnsi="宋体" w:cs="宋体"/>
          <w:color w:val="000000"/>
          <w:kern w:val="0"/>
          <w:sz w:val="24"/>
        </w:rPr>
      </w:pPr>
    </w:p>
    <w:p w14:paraId="69087368">
      <w:pPr>
        <w:shd w:val="clear" w:color="auto" w:fill="FFFFFF"/>
        <w:spacing w:line="360" w:lineRule="auto"/>
        <w:ind w:firstLine="480" w:firstLineChars="200"/>
        <w:jc w:val="center"/>
        <w:rPr>
          <w:rStyle w:val="20"/>
          <w:rFonts w:hint="eastAsia" w:ascii="宋体" w:hAnsi="宋体" w:cs="宋体"/>
          <w:color w:val="000000"/>
          <w:kern w:val="0"/>
          <w:sz w:val="24"/>
        </w:rPr>
      </w:pPr>
    </w:p>
    <w:p w14:paraId="04404396">
      <w:pPr>
        <w:pStyle w:val="9"/>
        <w:spacing w:line="360" w:lineRule="auto"/>
        <w:rPr>
          <w:rStyle w:val="20"/>
          <w:rFonts w:hint="eastAsia" w:ascii="宋体" w:hAnsi="宋体" w:cs="宋体"/>
          <w:color w:val="000000"/>
          <w:kern w:val="0"/>
          <w:sz w:val="24"/>
          <w:szCs w:val="24"/>
        </w:rPr>
      </w:pPr>
    </w:p>
    <w:p w14:paraId="306D8D10">
      <w:pPr>
        <w:pStyle w:val="9"/>
        <w:spacing w:line="360" w:lineRule="auto"/>
        <w:rPr>
          <w:rStyle w:val="20"/>
          <w:rFonts w:hint="eastAsia" w:ascii="宋体" w:hAnsi="宋体" w:cs="宋体"/>
          <w:color w:val="000000"/>
          <w:kern w:val="0"/>
          <w:sz w:val="24"/>
          <w:szCs w:val="24"/>
        </w:rPr>
      </w:pPr>
    </w:p>
    <w:p w14:paraId="75C961CC">
      <w:pPr>
        <w:shd w:val="clear" w:color="auto" w:fill="FFFFFF"/>
        <w:spacing w:line="360" w:lineRule="auto"/>
        <w:jc w:val="center"/>
        <w:rPr>
          <w:rStyle w:val="20"/>
          <w:rFonts w:hint="eastAsia" w:ascii="宋体" w:hAnsi="宋体" w:cs="宋体"/>
          <w:b/>
          <w:sz w:val="52"/>
          <w:szCs w:val="52"/>
        </w:rPr>
      </w:pPr>
      <w:r>
        <w:rPr>
          <w:rStyle w:val="20"/>
          <w:rFonts w:hint="eastAsia" w:ascii="宋体" w:hAnsi="宋体" w:cs="宋体"/>
          <w:b/>
          <w:sz w:val="52"/>
          <w:szCs w:val="52"/>
        </w:rPr>
        <w:t>陕西中医药大学第二附属医院</w:t>
      </w:r>
    </w:p>
    <w:p w14:paraId="49B9B7C9">
      <w:pPr>
        <w:shd w:val="clear" w:color="auto" w:fill="FFFFFF"/>
        <w:spacing w:line="360" w:lineRule="auto"/>
        <w:jc w:val="center"/>
        <w:rPr>
          <w:rStyle w:val="20"/>
          <w:rFonts w:hint="eastAsia" w:ascii="宋体" w:hAnsi="宋体" w:cs="宋体"/>
          <w:color w:val="000000"/>
          <w:kern w:val="0"/>
          <w:sz w:val="24"/>
        </w:rPr>
      </w:pPr>
      <w:r>
        <w:rPr>
          <w:rStyle w:val="20"/>
          <w:rFonts w:hint="eastAsia" w:ascii="宋体" w:hAnsi="宋体" w:cs="宋体"/>
          <w:b/>
          <w:sz w:val="52"/>
          <w:szCs w:val="52"/>
          <w:lang w:eastAsia="zh-CN"/>
        </w:rPr>
        <w:t>传染病前置软件接口</w:t>
      </w:r>
      <w:r>
        <w:rPr>
          <w:rStyle w:val="20"/>
          <w:rFonts w:hint="eastAsia" w:ascii="宋体" w:hAnsi="宋体" w:cs="宋体"/>
          <w:b/>
          <w:sz w:val="52"/>
          <w:szCs w:val="52"/>
        </w:rPr>
        <w:t>采购项目</w:t>
      </w:r>
    </w:p>
    <w:p w14:paraId="74CC6A6A">
      <w:pPr>
        <w:pStyle w:val="9"/>
        <w:spacing w:line="360" w:lineRule="auto"/>
        <w:rPr>
          <w:rFonts w:hint="eastAsia" w:ascii="宋体" w:hAnsi="宋体" w:cs="宋体"/>
          <w:sz w:val="52"/>
          <w:szCs w:val="52"/>
        </w:rPr>
      </w:pPr>
    </w:p>
    <w:p w14:paraId="611B60E3">
      <w:pPr>
        <w:shd w:val="clear" w:color="auto" w:fill="FFFFFF"/>
        <w:spacing w:line="360" w:lineRule="auto"/>
        <w:ind w:firstLine="1040" w:firstLineChars="200"/>
        <w:jc w:val="center"/>
        <w:rPr>
          <w:rStyle w:val="20"/>
          <w:rFonts w:hint="eastAsia" w:ascii="宋体" w:hAnsi="宋体" w:cs="宋体"/>
          <w:color w:val="000000"/>
          <w:kern w:val="0"/>
          <w:sz w:val="52"/>
          <w:szCs w:val="52"/>
        </w:rPr>
      </w:pPr>
    </w:p>
    <w:p w14:paraId="0773E55A">
      <w:pPr>
        <w:shd w:val="clear" w:color="auto" w:fill="FFFFFF"/>
        <w:spacing w:line="360" w:lineRule="auto"/>
        <w:ind w:firstLine="480" w:firstLineChars="200"/>
        <w:rPr>
          <w:rStyle w:val="20"/>
          <w:rFonts w:hint="eastAsia" w:ascii="宋体" w:hAnsi="宋体" w:cs="宋体"/>
          <w:color w:val="000000"/>
          <w:kern w:val="0"/>
          <w:sz w:val="24"/>
        </w:rPr>
      </w:pPr>
    </w:p>
    <w:p w14:paraId="043268F8">
      <w:pPr>
        <w:shd w:val="clear" w:color="auto" w:fill="FFFFFF"/>
        <w:spacing w:line="360" w:lineRule="auto"/>
        <w:ind w:firstLine="480" w:firstLineChars="200"/>
        <w:rPr>
          <w:rStyle w:val="20"/>
          <w:rFonts w:hint="eastAsia" w:ascii="宋体" w:hAnsi="宋体" w:cs="宋体"/>
          <w:color w:val="000000"/>
          <w:kern w:val="0"/>
          <w:sz w:val="24"/>
        </w:rPr>
      </w:pPr>
    </w:p>
    <w:p w14:paraId="1CF19935">
      <w:pPr>
        <w:shd w:val="clear" w:color="auto" w:fill="FFFFFF"/>
        <w:spacing w:line="360" w:lineRule="auto"/>
        <w:ind w:firstLine="480" w:firstLineChars="200"/>
        <w:rPr>
          <w:rStyle w:val="20"/>
          <w:rFonts w:hint="eastAsia" w:ascii="宋体" w:hAnsi="宋体" w:cs="宋体"/>
          <w:color w:val="000000"/>
          <w:kern w:val="0"/>
          <w:sz w:val="24"/>
        </w:rPr>
      </w:pPr>
    </w:p>
    <w:p w14:paraId="7B8F590C">
      <w:pPr>
        <w:shd w:val="clear" w:color="auto" w:fill="FFFFFF"/>
        <w:spacing w:line="360" w:lineRule="auto"/>
        <w:rPr>
          <w:rStyle w:val="20"/>
          <w:rFonts w:hint="eastAsia" w:ascii="宋体" w:hAnsi="宋体" w:cs="宋体"/>
          <w:color w:val="000000"/>
          <w:kern w:val="0"/>
          <w:sz w:val="24"/>
        </w:rPr>
      </w:pPr>
    </w:p>
    <w:p w14:paraId="4558168C">
      <w:pPr>
        <w:pStyle w:val="11"/>
        <w:spacing w:line="360" w:lineRule="auto"/>
        <w:ind w:left="0" w:firstLine="0" w:firstLineChars="0"/>
        <w:rPr>
          <w:rStyle w:val="20"/>
          <w:rFonts w:hint="eastAsia" w:ascii="宋体" w:hAnsi="宋体" w:cs="宋体"/>
          <w:color w:val="000000"/>
          <w:kern w:val="0"/>
          <w:sz w:val="24"/>
        </w:rPr>
      </w:pPr>
    </w:p>
    <w:p w14:paraId="5F65D5FE">
      <w:pPr>
        <w:pStyle w:val="9"/>
        <w:spacing w:line="360" w:lineRule="auto"/>
        <w:rPr>
          <w:rFonts w:hint="eastAsia" w:ascii="宋体" w:hAnsi="宋体" w:cs="宋体"/>
          <w:sz w:val="24"/>
          <w:szCs w:val="24"/>
        </w:rPr>
      </w:pPr>
    </w:p>
    <w:p w14:paraId="60CF6902">
      <w:pPr>
        <w:snapToGrid w:val="0"/>
        <w:spacing w:line="360" w:lineRule="auto"/>
        <w:ind w:firstLine="1687" w:firstLineChars="600"/>
        <w:rPr>
          <w:rStyle w:val="20"/>
          <w:rFonts w:hint="eastAsia" w:ascii="宋体" w:hAnsi="宋体" w:cs="宋体"/>
          <w:b/>
          <w:sz w:val="28"/>
          <w:szCs w:val="28"/>
        </w:rPr>
      </w:pPr>
      <w:r>
        <w:rPr>
          <w:rStyle w:val="20"/>
          <w:rFonts w:hint="eastAsia" w:ascii="宋体" w:hAnsi="宋体" w:cs="宋体"/>
          <w:b/>
          <w:sz w:val="28"/>
          <w:szCs w:val="28"/>
        </w:rPr>
        <w:t>供  应  商（盖章）：</w:t>
      </w:r>
    </w:p>
    <w:p w14:paraId="0FFC559C">
      <w:pPr>
        <w:snapToGrid w:val="0"/>
        <w:spacing w:line="360" w:lineRule="auto"/>
        <w:ind w:firstLine="1687" w:firstLineChars="600"/>
        <w:rPr>
          <w:rStyle w:val="20"/>
          <w:rFonts w:hint="eastAsia" w:ascii="宋体" w:hAnsi="宋体" w:cs="宋体"/>
          <w:b/>
          <w:sz w:val="28"/>
          <w:szCs w:val="28"/>
        </w:rPr>
      </w:pPr>
      <w:r>
        <w:rPr>
          <w:rStyle w:val="20"/>
          <w:rFonts w:hint="eastAsia" w:ascii="宋体" w:hAnsi="宋体" w:cs="宋体"/>
          <w:b/>
          <w:sz w:val="28"/>
          <w:szCs w:val="28"/>
        </w:rPr>
        <w:t xml:space="preserve">法定代表人或授权委托代理人（签章）： </w:t>
      </w:r>
    </w:p>
    <w:p w14:paraId="5E6CFA04">
      <w:pPr>
        <w:snapToGrid w:val="0"/>
        <w:spacing w:line="360" w:lineRule="auto"/>
        <w:ind w:firstLine="1687" w:firstLineChars="600"/>
        <w:rPr>
          <w:rFonts w:hint="eastAsia" w:ascii="宋体" w:hAnsi="宋体" w:cs="宋体"/>
          <w:b/>
          <w:bCs/>
          <w:sz w:val="24"/>
        </w:rPr>
      </w:pPr>
      <w:r>
        <w:rPr>
          <w:rStyle w:val="20"/>
          <w:rFonts w:hint="eastAsia" w:ascii="宋体" w:hAnsi="宋体" w:cs="宋体"/>
          <w:b/>
          <w:sz w:val="28"/>
          <w:szCs w:val="28"/>
        </w:rPr>
        <w:t>时      间：</w:t>
      </w:r>
      <w:r>
        <w:rPr>
          <w:rStyle w:val="20"/>
          <w:rFonts w:hint="eastAsia" w:ascii="宋体" w:hAnsi="宋体" w:cs="宋体"/>
          <w:b/>
          <w:sz w:val="24"/>
        </w:rPr>
        <w:t xml:space="preserve">              </w:t>
      </w:r>
    </w:p>
    <w:p w14:paraId="15C05C1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sz w:val="24"/>
        </w:rPr>
      </w:pPr>
    </w:p>
    <w:p w14:paraId="0F98F89B">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center"/>
        <w:textAlignment w:val="auto"/>
        <w:outlineLvl w:val="9"/>
        <w:rPr>
          <w:rStyle w:val="20"/>
          <w:rFonts w:hint="eastAsia" w:ascii="宋体" w:hAnsi="宋体" w:cs="宋体"/>
          <w:color w:val="000000"/>
          <w:kern w:val="0"/>
          <w:sz w:val="24"/>
        </w:rPr>
      </w:pPr>
    </w:p>
    <w:p w14:paraId="5217495E">
      <w:pPr>
        <w:pStyle w:val="11"/>
        <w:rPr>
          <w:rFonts w:hint="eastAsia"/>
        </w:rPr>
      </w:pPr>
    </w:p>
    <w:p w14:paraId="2D335C36">
      <w:pPr>
        <w:pStyle w:val="11"/>
        <w:rPr>
          <w:rFonts w:hint="eastAsia"/>
        </w:rPr>
      </w:pPr>
    </w:p>
    <w:p w14:paraId="7A861285">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center"/>
        <w:textAlignment w:val="auto"/>
        <w:outlineLvl w:val="1"/>
        <w:rPr>
          <w:rStyle w:val="20"/>
          <w:rFonts w:hint="eastAsia" w:ascii="宋体" w:hAnsi="宋体" w:cs="宋体"/>
          <w:b/>
          <w:bCs/>
          <w:color w:val="000000"/>
          <w:kern w:val="0"/>
          <w:sz w:val="36"/>
          <w:szCs w:val="36"/>
        </w:rPr>
      </w:pPr>
      <w:r>
        <w:rPr>
          <w:rStyle w:val="20"/>
          <w:rFonts w:hint="eastAsia" w:ascii="宋体" w:hAnsi="宋体" w:cs="宋体"/>
          <w:b/>
          <w:bCs/>
          <w:color w:val="000000"/>
          <w:kern w:val="0"/>
          <w:sz w:val="36"/>
          <w:szCs w:val="36"/>
        </w:rPr>
        <w:t>目  录</w:t>
      </w:r>
    </w:p>
    <w:p w14:paraId="04816BB6">
      <w:pPr>
        <w:shd w:val="clear" w:color="auto" w:fill="FFFFFF"/>
        <w:spacing w:line="360" w:lineRule="auto"/>
        <w:ind w:firstLine="480" w:firstLineChars="200"/>
        <w:rPr>
          <w:rStyle w:val="20"/>
          <w:rFonts w:hint="eastAsia" w:ascii="宋体" w:hAnsi="宋体" w:cs="宋体"/>
          <w:color w:val="000000"/>
          <w:kern w:val="0"/>
          <w:sz w:val="24"/>
        </w:rPr>
      </w:pPr>
    </w:p>
    <w:p w14:paraId="740DCE1A">
      <w:pPr>
        <w:shd w:val="clear" w:color="auto" w:fill="FFFFFF"/>
        <w:spacing w:line="360" w:lineRule="auto"/>
        <w:ind w:firstLine="560" w:firstLineChars="200"/>
        <w:rPr>
          <w:rStyle w:val="20"/>
          <w:rFonts w:hint="eastAsia" w:ascii="宋体" w:hAnsi="宋体" w:cs="宋体"/>
          <w:color w:val="000000"/>
          <w:kern w:val="0"/>
          <w:sz w:val="28"/>
          <w:szCs w:val="28"/>
        </w:rPr>
      </w:pPr>
      <w:r>
        <w:rPr>
          <w:rStyle w:val="20"/>
          <w:rFonts w:hint="eastAsia" w:ascii="宋体" w:hAnsi="宋体" w:cs="宋体"/>
          <w:color w:val="000000"/>
          <w:kern w:val="0"/>
          <w:sz w:val="28"/>
          <w:szCs w:val="28"/>
        </w:rPr>
        <w:t>第一部分：响应函</w:t>
      </w:r>
    </w:p>
    <w:p w14:paraId="50A8A2FF">
      <w:pPr>
        <w:shd w:val="clear" w:color="auto" w:fill="FFFFFF"/>
        <w:spacing w:line="360" w:lineRule="auto"/>
        <w:ind w:firstLine="560" w:firstLineChars="200"/>
        <w:rPr>
          <w:rStyle w:val="20"/>
          <w:rFonts w:hint="eastAsia" w:ascii="宋体" w:hAnsi="宋体" w:cs="宋体"/>
          <w:color w:val="000000"/>
          <w:kern w:val="0"/>
          <w:sz w:val="28"/>
          <w:szCs w:val="28"/>
        </w:rPr>
      </w:pPr>
      <w:r>
        <w:rPr>
          <w:rStyle w:val="20"/>
          <w:rFonts w:hint="eastAsia" w:ascii="宋体" w:hAnsi="宋体" w:cs="宋体"/>
          <w:color w:val="000000"/>
          <w:kern w:val="0"/>
          <w:sz w:val="28"/>
          <w:szCs w:val="28"/>
        </w:rPr>
        <w:t>第二部分：报价表</w:t>
      </w:r>
    </w:p>
    <w:p w14:paraId="7081EBAC">
      <w:pPr>
        <w:shd w:val="clear" w:color="auto" w:fill="FFFFFF"/>
        <w:spacing w:line="360" w:lineRule="auto"/>
        <w:ind w:firstLine="560" w:firstLineChars="200"/>
        <w:rPr>
          <w:rStyle w:val="20"/>
          <w:rFonts w:hint="eastAsia" w:ascii="宋体" w:hAnsi="宋体" w:cs="宋体"/>
          <w:color w:val="000000"/>
          <w:kern w:val="0"/>
          <w:sz w:val="28"/>
          <w:szCs w:val="28"/>
        </w:rPr>
      </w:pPr>
      <w:r>
        <w:rPr>
          <w:rStyle w:val="20"/>
          <w:rFonts w:hint="eastAsia" w:ascii="宋体" w:hAnsi="宋体" w:cs="宋体"/>
          <w:color w:val="000000"/>
          <w:kern w:val="0"/>
          <w:sz w:val="28"/>
          <w:szCs w:val="28"/>
        </w:rPr>
        <w:t>第三部分：资格证明文件</w:t>
      </w:r>
    </w:p>
    <w:p w14:paraId="433B19EC">
      <w:pPr>
        <w:shd w:val="clear" w:color="auto" w:fill="FFFFFF"/>
        <w:spacing w:line="360" w:lineRule="auto"/>
        <w:ind w:firstLine="560" w:firstLineChars="200"/>
        <w:rPr>
          <w:rStyle w:val="20"/>
          <w:rFonts w:hint="eastAsia" w:ascii="宋体" w:hAnsi="宋体" w:cs="宋体"/>
          <w:color w:val="000000"/>
          <w:kern w:val="0"/>
          <w:sz w:val="28"/>
          <w:szCs w:val="28"/>
        </w:rPr>
      </w:pPr>
      <w:r>
        <w:rPr>
          <w:rStyle w:val="20"/>
          <w:rFonts w:hint="eastAsia" w:ascii="宋体" w:hAnsi="宋体" w:cs="宋体"/>
          <w:color w:val="000000"/>
          <w:kern w:val="0"/>
          <w:sz w:val="28"/>
          <w:szCs w:val="28"/>
        </w:rPr>
        <w:t>第四部分：技术响应及其他相关情况</w:t>
      </w:r>
    </w:p>
    <w:p w14:paraId="4D5E5710">
      <w:pPr>
        <w:shd w:val="clear" w:color="auto" w:fill="FFFFFF"/>
        <w:spacing w:line="360" w:lineRule="auto"/>
        <w:ind w:firstLine="480" w:firstLineChars="200"/>
        <w:rPr>
          <w:rStyle w:val="20"/>
          <w:rFonts w:hint="eastAsia" w:ascii="宋体" w:hAnsi="宋体" w:cs="宋体"/>
          <w:color w:val="000000"/>
          <w:kern w:val="0"/>
          <w:sz w:val="24"/>
        </w:rPr>
      </w:pPr>
    </w:p>
    <w:p w14:paraId="373EE2F8">
      <w:pPr>
        <w:shd w:val="clear" w:color="auto" w:fill="FFFFFF"/>
        <w:spacing w:line="360" w:lineRule="auto"/>
        <w:ind w:firstLine="480" w:firstLineChars="200"/>
        <w:rPr>
          <w:rStyle w:val="20"/>
          <w:rFonts w:hint="eastAsia" w:ascii="宋体" w:hAnsi="宋体" w:cs="宋体"/>
          <w:color w:val="000000"/>
          <w:kern w:val="0"/>
          <w:sz w:val="24"/>
        </w:rPr>
      </w:pPr>
    </w:p>
    <w:p w14:paraId="02961BFD">
      <w:pPr>
        <w:shd w:val="clear" w:color="auto" w:fill="FFFFFF"/>
        <w:spacing w:line="360" w:lineRule="auto"/>
        <w:ind w:firstLine="480" w:firstLineChars="200"/>
        <w:rPr>
          <w:rStyle w:val="20"/>
          <w:rFonts w:hint="eastAsia" w:ascii="宋体" w:hAnsi="宋体" w:cs="宋体"/>
          <w:color w:val="000000"/>
          <w:kern w:val="0"/>
          <w:sz w:val="24"/>
        </w:rPr>
      </w:pPr>
    </w:p>
    <w:p w14:paraId="53BC6EDC">
      <w:pPr>
        <w:shd w:val="clear" w:color="auto" w:fill="FFFFFF"/>
        <w:spacing w:line="360" w:lineRule="auto"/>
        <w:ind w:firstLine="480" w:firstLineChars="200"/>
        <w:rPr>
          <w:rStyle w:val="20"/>
          <w:rFonts w:hint="eastAsia" w:ascii="宋体" w:hAnsi="宋体" w:cs="宋体"/>
          <w:color w:val="000000"/>
          <w:kern w:val="0"/>
          <w:sz w:val="24"/>
        </w:rPr>
      </w:pPr>
    </w:p>
    <w:p w14:paraId="7EF5BF5E">
      <w:pPr>
        <w:shd w:val="clear" w:color="auto" w:fill="FFFFFF"/>
        <w:spacing w:line="360" w:lineRule="auto"/>
        <w:ind w:firstLine="480" w:firstLineChars="200"/>
        <w:rPr>
          <w:rStyle w:val="20"/>
          <w:rFonts w:hint="eastAsia" w:ascii="宋体" w:hAnsi="宋体" w:cs="宋体"/>
          <w:color w:val="000000"/>
          <w:kern w:val="0"/>
          <w:sz w:val="24"/>
        </w:rPr>
      </w:pPr>
    </w:p>
    <w:p w14:paraId="34BB7B00">
      <w:pPr>
        <w:shd w:val="clear" w:color="auto" w:fill="FFFFFF"/>
        <w:spacing w:line="360" w:lineRule="auto"/>
        <w:ind w:firstLine="480" w:firstLineChars="200"/>
        <w:rPr>
          <w:rStyle w:val="20"/>
          <w:rFonts w:hint="eastAsia" w:ascii="宋体" w:hAnsi="宋体" w:cs="宋体"/>
          <w:color w:val="000000"/>
          <w:kern w:val="0"/>
          <w:sz w:val="24"/>
        </w:rPr>
      </w:pPr>
    </w:p>
    <w:p w14:paraId="176A809A">
      <w:pPr>
        <w:shd w:val="clear" w:color="auto" w:fill="FFFFFF"/>
        <w:spacing w:line="360" w:lineRule="auto"/>
        <w:ind w:firstLine="480" w:firstLineChars="200"/>
        <w:rPr>
          <w:rStyle w:val="20"/>
          <w:rFonts w:hint="eastAsia" w:ascii="宋体" w:hAnsi="宋体" w:cs="宋体"/>
          <w:color w:val="000000"/>
          <w:kern w:val="0"/>
          <w:sz w:val="24"/>
        </w:rPr>
      </w:pPr>
    </w:p>
    <w:p w14:paraId="6BD44000">
      <w:pPr>
        <w:pStyle w:val="9"/>
        <w:spacing w:line="360" w:lineRule="auto"/>
        <w:ind w:firstLine="546" w:firstLineChars="200"/>
        <w:rPr>
          <w:rFonts w:hint="eastAsia" w:ascii="宋体" w:hAnsi="宋体" w:cs="宋体"/>
          <w:sz w:val="24"/>
          <w:szCs w:val="24"/>
        </w:rPr>
      </w:pPr>
    </w:p>
    <w:p w14:paraId="48A838B6">
      <w:pPr>
        <w:pStyle w:val="9"/>
        <w:spacing w:line="360" w:lineRule="auto"/>
        <w:ind w:firstLine="546" w:firstLineChars="200"/>
        <w:jc w:val="both"/>
        <w:rPr>
          <w:rFonts w:hint="eastAsia" w:ascii="宋体" w:hAnsi="宋体" w:cs="宋体"/>
          <w:sz w:val="24"/>
          <w:szCs w:val="24"/>
        </w:rPr>
      </w:pPr>
    </w:p>
    <w:p w14:paraId="78946991">
      <w:pPr>
        <w:pStyle w:val="9"/>
        <w:spacing w:line="360" w:lineRule="auto"/>
        <w:ind w:firstLine="546" w:firstLineChars="200"/>
        <w:jc w:val="both"/>
        <w:rPr>
          <w:rFonts w:hint="eastAsia" w:ascii="宋体" w:hAnsi="宋体" w:cs="宋体"/>
          <w:sz w:val="24"/>
          <w:szCs w:val="24"/>
        </w:rPr>
      </w:pPr>
    </w:p>
    <w:p w14:paraId="70A2DC81">
      <w:pPr>
        <w:pStyle w:val="9"/>
        <w:spacing w:line="360" w:lineRule="auto"/>
        <w:ind w:firstLine="546" w:firstLineChars="200"/>
        <w:jc w:val="both"/>
        <w:rPr>
          <w:rFonts w:hint="eastAsia" w:ascii="宋体" w:hAnsi="宋体" w:cs="宋体"/>
          <w:sz w:val="24"/>
          <w:szCs w:val="24"/>
        </w:rPr>
      </w:pPr>
    </w:p>
    <w:p w14:paraId="32F23261">
      <w:pPr>
        <w:pStyle w:val="9"/>
        <w:spacing w:line="360" w:lineRule="auto"/>
        <w:ind w:firstLine="546" w:firstLineChars="200"/>
        <w:jc w:val="both"/>
        <w:rPr>
          <w:rFonts w:hint="eastAsia" w:ascii="宋体" w:hAnsi="宋体" w:cs="宋体"/>
          <w:sz w:val="24"/>
          <w:szCs w:val="24"/>
        </w:rPr>
      </w:pPr>
    </w:p>
    <w:p w14:paraId="10839446">
      <w:pPr>
        <w:pStyle w:val="9"/>
        <w:spacing w:line="360" w:lineRule="auto"/>
        <w:ind w:firstLine="546" w:firstLineChars="200"/>
        <w:jc w:val="both"/>
        <w:rPr>
          <w:rFonts w:hint="eastAsia" w:ascii="宋体" w:hAnsi="宋体" w:cs="宋体"/>
          <w:sz w:val="24"/>
          <w:szCs w:val="24"/>
        </w:rPr>
      </w:pPr>
    </w:p>
    <w:p w14:paraId="22DBFD86">
      <w:pPr>
        <w:shd w:val="clear" w:color="auto" w:fill="FFFFFF"/>
        <w:spacing w:line="360" w:lineRule="auto"/>
        <w:jc w:val="center"/>
        <w:rPr>
          <w:rStyle w:val="20"/>
          <w:rFonts w:hint="eastAsia" w:ascii="宋体" w:hAnsi="宋体" w:cs="宋体"/>
          <w:b/>
          <w:color w:val="000000"/>
          <w:kern w:val="0"/>
          <w:sz w:val="24"/>
        </w:rPr>
      </w:pPr>
    </w:p>
    <w:p w14:paraId="6C99CB14">
      <w:pPr>
        <w:pStyle w:val="11"/>
        <w:ind w:firstLine="482"/>
        <w:rPr>
          <w:rStyle w:val="20"/>
          <w:rFonts w:hint="eastAsia" w:ascii="宋体" w:hAnsi="宋体" w:cs="宋体"/>
          <w:b/>
          <w:color w:val="000000"/>
          <w:kern w:val="0"/>
          <w:sz w:val="24"/>
        </w:rPr>
      </w:pPr>
    </w:p>
    <w:p w14:paraId="6310B074">
      <w:pPr>
        <w:pStyle w:val="11"/>
        <w:ind w:firstLine="482"/>
        <w:rPr>
          <w:rStyle w:val="20"/>
          <w:rFonts w:hint="eastAsia" w:ascii="宋体" w:hAnsi="宋体" w:cs="宋体"/>
          <w:b/>
          <w:color w:val="000000"/>
          <w:kern w:val="0"/>
          <w:sz w:val="24"/>
        </w:rPr>
      </w:pPr>
    </w:p>
    <w:p w14:paraId="124E4B74">
      <w:pPr>
        <w:pStyle w:val="11"/>
        <w:ind w:firstLine="482"/>
        <w:rPr>
          <w:rStyle w:val="20"/>
          <w:rFonts w:hint="eastAsia" w:ascii="宋体" w:hAnsi="宋体" w:cs="宋体"/>
          <w:b/>
          <w:color w:val="000000"/>
          <w:kern w:val="0"/>
          <w:sz w:val="24"/>
        </w:rPr>
      </w:pPr>
    </w:p>
    <w:p w14:paraId="60B15789">
      <w:pPr>
        <w:pStyle w:val="11"/>
        <w:ind w:firstLine="482"/>
        <w:rPr>
          <w:rStyle w:val="20"/>
          <w:rFonts w:hint="eastAsia" w:ascii="宋体" w:hAnsi="宋体" w:cs="宋体"/>
          <w:b/>
          <w:color w:val="000000"/>
          <w:kern w:val="0"/>
          <w:sz w:val="24"/>
        </w:rPr>
      </w:pPr>
    </w:p>
    <w:p w14:paraId="44A384A1">
      <w:pPr>
        <w:rPr>
          <w:rStyle w:val="20"/>
          <w:rFonts w:hint="eastAsia" w:ascii="宋体" w:hAnsi="宋体" w:cs="宋体"/>
          <w:b/>
          <w:color w:val="000000"/>
          <w:kern w:val="0"/>
          <w:sz w:val="24"/>
        </w:rPr>
      </w:pPr>
      <w:r>
        <w:rPr>
          <w:rStyle w:val="20"/>
          <w:rFonts w:hint="eastAsia" w:ascii="宋体" w:hAnsi="宋体" w:cs="宋体"/>
          <w:b/>
          <w:color w:val="000000"/>
          <w:kern w:val="0"/>
          <w:sz w:val="24"/>
        </w:rPr>
        <w:br w:type="page"/>
      </w:r>
    </w:p>
    <w:p w14:paraId="0DFC385F">
      <w:pPr>
        <w:keepNext w:val="0"/>
        <w:keepLines w:val="0"/>
        <w:pageBreakBefore w:val="0"/>
        <w:widowControl w:val="0"/>
        <w:shd w:val="clear" w:color="auto" w:fill="FFFFFF"/>
        <w:kinsoku/>
        <w:wordWrap/>
        <w:overflowPunct/>
        <w:topLinePunct w:val="0"/>
        <w:autoSpaceDE/>
        <w:autoSpaceDN/>
        <w:bidi w:val="0"/>
        <w:adjustRightInd/>
        <w:snapToGrid/>
        <w:spacing w:after="157" w:afterLines="50" w:line="360" w:lineRule="auto"/>
        <w:jc w:val="center"/>
        <w:textAlignment w:val="auto"/>
        <w:outlineLvl w:val="1"/>
        <w:rPr>
          <w:rStyle w:val="20"/>
          <w:rFonts w:hint="eastAsia" w:ascii="宋体" w:hAnsi="宋体" w:cs="宋体"/>
          <w:b/>
          <w:bCs/>
          <w:sz w:val="32"/>
          <w:szCs w:val="32"/>
        </w:rPr>
      </w:pPr>
      <w:r>
        <w:rPr>
          <w:rStyle w:val="20"/>
          <w:rFonts w:hint="eastAsia" w:ascii="宋体" w:hAnsi="宋体" w:cs="宋体"/>
          <w:b/>
          <w:color w:val="000000"/>
          <w:kern w:val="0"/>
          <w:sz w:val="32"/>
          <w:szCs w:val="32"/>
        </w:rPr>
        <w:t>第一部分  投标函</w:t>
      </w:r>
    </w:p>
    <w:p w14:paraId="200B4DE9">
      <w:pPr>
        <w:widowControl/>
        <w:snapToGrid w:val="0"/>
        <w:spacing w:line="360" w:lineRule="auto"/>
        <w:rPr>
          <w:rStyle w:val="20"/>
          <w:rFonts w:hint="eastAsia" w:ascii="宋体" w:hAnsi="宋体" w:cs="宋体"/>
          <w:b/>
          <w:bCs/>
          <w:sz w:val="24"/>
        </w:rPr>
      </w:pPr>
      <w:r>
        <w:rPr>
          <w:rStyle w:val="20"/>
          <w:rFonts w:hint="eastAsia" w:ascii="宋体" w:hAnsi="宋体" w:cs="宋体"/>
          <w:b/>
          <w:bCs/>
          <w:sz w:val="24"/>
        </w:rPr>
        <w:t>陕西中医药大学第二附属医院：</w:t>
      </w:r>
    </w:p>
    <w:p w14:paraId="6CB89C5D">
      <w:pPr>
        <w:shd w:val="clear" w:color="auto" w:fill="FFFFFF"/>
        <w:spacing w:line="360" w:lineRule="auto"/>
        <w:ind w:firstLine="480" w:firstLineChars="200"/>
        <w:jc w:val="left"/>
        <w:rPr>
          <w:rStyle w:val="20"/>
          <w:rFonts w:hint="eastAsia" w:ascii="宋体" w:hAnsi="宋体" w:cs="宋体"/>
          <w:sz w:val="24"/>
        </w:rPr>
      </w:pPr>
      <w:r>
        <w:rPr>
          <w:rStyle w:val="20"/>
          <w:rFonts w:hint="eastAsia" w:ascii="宋体" w:hAnsi="宋体" w:cs="宋体"/>
          <w:sz w:val="24"/>
        </w:rPr>
        <w:t>我单位收到（项目名称：陕西中医药大学第二附属医院</w:t>
      </w:r>
      <w:r>
        <w:rPr>
          <w:rStyle w:val="20"/>
          <w:rFonts w:hint="eastAsia" w:ascii="宋体" w:hAnsi="宋体" w:cs="宋体"/>
          <w:sz w:val="24"/>
          <w:lang w:eastAsia="zh-CN"/>
        </w:rPr>
        <w:t>传染病前置软件接口</w:t>
      </w:r>
      <w:r>
        <w:rPr>
          <w:rStyle w:val="20"/>
          <w:rFonts w:hint="eastAsia" w:ascii="宋体" w:hAnsi="宋体" w:cs="宋体"/>
          <w:sz w:val="24"/>
        </w:rPr>
        <w:t>采购项目；项目编号：</w:t>
      </w:r>
      <w:r>
        <w:rPr>
          <w:rStyle w:val="20"/>
          <w:rFonts w:hint="eastAsia" w:ascii="宋体" w:hAnsi="宋体" w:cs="宋体"/>
          <w:sz w:val="24"/>
          <w:lang w:eastAsia="zh-CN"/>
        </w:rPr>
        <w:t>SZRFYZB202410-186</w:t>
      </w:r>
      <w:r>
        <w:rPr>
          <w:rStyle w:val="20"/>
          <w:rFonts w:hint="eastAsia" w:ascii="宋体" w:hAnsi="宋体" w:cs="宋体"/>
          <w:sz w:val="24"/>
        </w:rPr>
        <w:t>）采购文件，经我单位详细研究，决定参加本项目的采购活动。为此，我单位进行郑重声明，并愿意承担相应的法律责任：</w:t>
      </w:r>
    </w:p>
    <w:p w14:paraId="015388E3">
      <w:pPr>
        <w:widowControl/>
        <w:snapToGrid w:val="0"/>
        <w:spacing w:line="360" w:lineRule="auto"/>
        <w:ind w:firstLine="480" w:firstLineChars="200"/>
        <w:rPr>
          <w:rStyle w:val="20"/>
          <w:rFonts w:hint="eastAsia" w:ascii="宋体" w:hAnsi="宋体" w:cs="宋体"/>
          <w:sz w:val="24"/>
        </w:rPr>
      </w:pPr>
      <w:r>
        <w:rPr>
          <w:rStyle w:val="20"/>
          <w:rFonts w:hint="eastAsia" w:ascii="宋体" w:hAnsi="宋体" w:cs="宋体"/>
          <w:sz w:val="24"/>
        </w:rPr>
        <w:t>1.我单位响应招标文件中的一切要求，提供相应服务及完成合同的责任和义务。</w:t>
      </w:r>
    </w:p>
    <w:p w14:paraId="7CB70B8F">
      <w:pPr>
        <w:widowControl/>
        <w:snapToGrid w:val="0"/>
        <w:spacing w:line="360" w:lineRule="auto"/>
        <w:ind w:firstLine="480" w:firstLineChars="200"/>
        <w:rPr>
          <w:rStyle w:val="20"/>
          <w:rFonts w:hint="eastAsia" w:ascii="宋体" w:hAnsi="宋体" w:cs="宋体"/>
          <w:sz w:val="24"/>
        </w:rPr>
      </w:pPr>
      <w:r>
        <w:rPr>
          <w:rStyle w:val="20"/>
          <w:rFonts w:hint="eastAsia" w:ascii="宋体" w:hAnsi="宋体" w:cs="宋体"/>
          <w:sz w:val="24"/>
        </w:rPr>
        <w:t>2.我单位提交的响应文件为正本</w:t>
      </w:r>
      <w:r>
        <w:rPr>
          <w:rStyle w:val="20"/>
          <w:rFonts w:hint="eastAsia" w:ascii="宋体" w:hAnsi="宋体" w:cs="宋体"/>
          <w:sz w:val="24"/>
          <w:u w:val="single"/>
        </w:rPr>
        <w:t xml:space="preserve">   </w:t>
      </w:r>
      <w:r>
        <w:rPr>
          <w:rStyle w:val="20"/>
          <w:rFonts w:hint="eastAsia" w:ascii="宋体" w:hAnsi="宋体" w:cs="宋体"/>
          <w:sz w:val="24"/>
        </w:rPr>
        <w:t>份，副本</w:t>
      </w:r>
      <w:r>
        <w:rPr>
          <w:rStyle w:val="20"/>
          <w:rFonts w:hint="eastAsia" w:ascii="宋体" w:hAnsi="宋体" w:cs="宋体"/>
          <w:sz w:val="24"/>
          <w:u w:val="single"/>
        </w:rPr>
        <w:t xml:space="preserve">   </w:t>
      </w:r>
      <w:r>
        <w:rPr>
          <w:rStyle w:val="20"/>
          <w:rFonts w:hint="eastAsia" w:ascii="宋体" w:hAnsi="宋体" w:cs="宋体"/>
          <w:sz w:val="24"/>
        </w:rPr>
        <w:t>份。</w:t>
      </w:r>
    </w:p>
    <w:p w14:paraId="15435567">
      <w:pPr>
        <w:widowControl/>
        <w:snapToGrid w:val="0"/>
        <w:spacing w:line="360" w:lineRule="auto"/>
        <w:ind w:firstLine="480" w:firstLineChars="200"/>
        <w:rPr>
          <w:rStyle w:val="20"/>
          <w:rFonts w:hint="eastAsia" w:ascii="宋体" w:hAnsi="宋体" w:cs="宋体"/>
          <w:sz w:val="24"/>
        </w:rPr>
      </w:pPr>
      <w:r>
        <w:rPr>
          <w:rStyle w:val="20"/>
          <w:rFonts w:hint="eastAsia" w:ascii="宋体" w:hAnsi="宋体" w:cs="宋体"/>
          <w:sz w:val="24"/>
        </w:rPr>
        <w:t>3.我单位已详细阅读了本项目招标文件，完全理解并同意放弃提出含糊不清和误解问题的权力。</w:t>
      </w:r>
    </w:p>
    <w:p w14:paraId="53301760">
      <w:pPr>
        <w:widowControl/>
        <w:snapToGrid w:val="0"/>
        <w:spacing w:line="360" w:lineRule="auto"/>
        <w:ind w:firstLine="480" w:firstLineChars="200"/>
        <w:rPr>
          <w:rStyle w:val="20"/>
          <w:rFonts w:hint="eastAsia" w:ascii="宋体" w:hAnsi="宋体" w:cs="宋体"/>
          <w:sz w:val="24"/>
        </w:rPr>
      </w:pPr>
      <w:r>
        <w:rPr>
          <w:rStyle w:val="20"/>
          <w:rFonts w:hint="eastAsia" w:ascii="宋体" w:hAnsi="宋体" w:cs="宋体"/>
          <w:sz w:val="24"/>
        </w:rPr>
        <w:t>4.我单位同意向贵单位提供可能要求的、与本次开标有关的任何证据资料。</w:t>
      </w:r>
    </w:p>
    <w:p w14:paraId="76FD983C">
      <w:pPr>
        <w:widowControl/>
        <w:snapToGrid w:val="0"/>
        <w:spacing w:line="360" w:lineRule="auto"/>
        <w:ind w:firstLine="480" w:firstLineChars="200"/>
        <w:rPr>
          <w:rStyle w:val="20"/>
          <w:rFonts w:hint="eastAsia" w:ascii="宋体" w:hAnsi="宋体" w:cs="宋体"/>
          <w:sz w:val="24"/>
        </w:rPr>
      </w:pPr>
      <w:r>
        <w:rPr>
          <w:rStyle w:val="20"/>
          <w:rFonts w:hint="eastAsia" w:ascii="宋体" w:hAnsi="宋体" w:cs="宋体"/>
          <w:sz w:val="24"/>
        </w:rPr>
        <w:t>5.我单位的响应文件在招标文件截止递交时间之后</w:t>
      </w:r>
      <w:r>
        <w:rPr>
          <w:rStyle w:val="20"/>
          <w:rFonts w:hint="eastAsia" w:ascii="宋体" w:hAnsi="宋体" w:cs="宋体"/>
          <w:sz w:val="24"/>
          <w:u w:val="single"/>
        </w:rPr>
        <w:t xml:space="preserve">   </w:t>
      </w:r>
      <w:r>
        <w:rPr>
          <w:rStyle w:val="20"/>
          <w:rFonts w:hint="eastAsia" w:ascii="宋体" w:hAnsi="宋体" w:cs="宋体"/>
          <w:sz w:val="24"/>
        </w:rPr>
        <w:t>天有效。</w:t>
      </w:r>
    </w:p>
    <w:p w14:paraId="79C6383E">
      <w:pPr>
        <w:widowControl/>
        <w:snapToGrid w:val="0"/>
        <w:spacing w:line="360" w:lineRule="auto"/>
        <w:ind w:firstLine="480" w:firstLineChars="200"/>
        <w:rPr>
          <w:rStyle w:val="20"/>
          <w:rFonts w:hint="eastAsia" w:ascii="宋体" w:hAnsi="宋体" w:cs="宋体"/>
          <w:sz w:val="24"/>
        </w:rPr>
      </w:pPr>
      <w:r>
        <w:rPr>
          <w:rStyle w:val="20"/>
          <w:rFonts w:hint="eastAsia" w:ascii="宋体" w:hAnsi="宋体" w:cs="宋体"/>
          <w:sz w:val="24"/>
        </w:rPr>
        <w:t>6.我单位完全接受并响应招标文件等关于本项目相关文件的要求，严格遵守开标过程的时间安排、程序安排等细节，对此无任何异议。</w:t>
      </w:r>
    </w:p>
    <w:p w14:paraId="4468ABDE">
      <w:pPr>
        <w:widowControl/>
        <w:snapToGrid w:val="0"/>
        <w:spacing w:line="360" w:lineRule="auto"/>
        <w:ind w:firstLine="480" w:firstLineChars="200"/>
        <w:rPr>
          <w:rStyle w:val="20"/>
          <w:rFonts w:hint="eastAsia" w:ascii="宋体" w:hAnsi="宋体" w:cs="宋体"/>
          <w:sz w:val="24"/>
        </w:rPr>
      </w:pPr>
      <w:r>
        <w:rPr>
          <w:rStyle w:val="20"/>
          <w:rFonts w:hint="eastAsia" w:ascii="宋体" w:hAnsi="宋体" w:cs="宋体"/>
          <w:sz w:val="24"/>
        </w:rPr>
        <w:t>7.所有关于本次开标的函电，请按下列地址联系：</w:t>
      </w:r>
    </w:p>
    <w:p w14:paraId="7E963B89">
      <w:pPr>
        <w:widowControl/>
        <w:snapToGrid w:val="0"/>
        <w:spacing w:line="360" w:lineRule="auto"/>
        <w:ind w:firstLine="480" w:firstLineChars="200"/>
        <w:rPr>
          <w:rStyle w:val="20"/>
          <w:rFonts w:hint="eastAsia" w:ascii="宋体" w:hAnsi="宋体" w:cs="宋体"/>
          <w:sz w:val="24"/>
        </w:rPr>
      </w:pPr>
      <w:r>
        <w:rPr>
          <w:rStyle w:val="20"/>
          <w:rFonts w:hint="eastAsia" w:ascii="宋体" w:hAnsi="宋体" w:cs="宋体"/>
          <w:sz w:val="24"/>
        </w:rPr>
        <w:t>供应商名称（盖章）：</w:t>
      </w:r>
      <w:r>
        <w:rPr>
          <w:rStyle w:val="20"/>
          <w:rFonts w:hint="eastAsia" w:ascii="宋体" w:hAnsi="宋体" w:cs="宋体"/>
          <w:sz w:val="24"/>
          <w:u w:val="single"/>
        </w:rPr>
        <w:t xml:space="preserve">                             </w:t>
      </w:r>
    </w:p>
    <w:p w14:paraId="6476F971">
      <w:pPr>
        <w:widowControl/>
        <w:snapToGrid w:val="0"/>
        <w:spacing w:line="360" w:lineRule="auto"/>
        <w:ind w:firstLine="480" w:firstLineChars="200"/>
        <w:rPr>
          <w:rStyle w:val="20"/>
          <w:rFonts w:hint="eastAsia" w:ascii="宋体" w:hAnsi="宋体" w:cs="宋体"/>
          <w:sz w:val="24"/>
        </w:rPr>
      </w:pPr>
      <w:r>
        <w:rPr>
          <w:rStyle w:val="20"/>
          <w:rFonts w:hint="eastAsia" w:ascii="宋体" w:hAnsi="宋体" w:cs="宋体"/>
          <w:sz w:val="24"/>
        </w:rPr>
        <w:t>地    址：</w:t>
      </w:r>
      <w:r>
        <w:rPr>
          <w:rStyle w:val="20"/>
          <w:rFonts w:hint="eastAsia" w:ascii="宋体" w:hAnsi="宋体" w:cs="宋体"/>
          <w:sz w:val="24"/>
          <w:u w:val="single"/>
        </w:rPr>
        <w:t xml:space="preserve">                                       </w:t>
      </w:r>
    </w:p>
    <w:p w14:paraId="434C5BDC">
      <w:pPr>
        <w:widowControl/>
        <w:snapToGrid w:val="0"/>
        <w:spacing w:line="360" w:lineRule="auto"/>
        <w:ind w:firstLine="480" w:firstLineChars="200"/>
        <w:rPr>
          <w:rStyle w:val="20"/>
          <w:rFonts w:hint="eastAsia" w:ascii="宋体" w:hAnsi="宋体" w:cs="宋体"/>
          <w:sz w:val="24"/>
          <w:u w:val="single"/>
        </w:rPr>
      </w:pPr>
      <w:r>
        <w:rPr>
          <w:rStyle w:val="20"/>
          <w:rFonts w:hint="eastAsia" w:ascii="宋体" w:hAnsi="宋体" w:cs="宋体"/>
          <w:sz w:val="24"/>
        </w:rPr>
        <w:t>开户银行：</w:t>
      </w:r>
      <w:r>
        <w:rPr>
          <w:rStyle w:val="20"/>
          <w:rFonts w:hint="eastAsia" w:ascii="宋体" w:hAnsi="宋体" w:cs="宋体"/>
          <w:sz w:val="24"/>
          <w:u w:val="single"/>
        </w:rPr>
        <w:t xml:space="preserve">                                       </w:t>
      </w:r>
    </w:p>
    <w:p w14:paraId="636CF1C5">
      <w:pPr>
        <w:widowControl/>
        <w:snapToGrid w:val="0"/>
        <w:spacing w:line="360" w:lineRule="auto"/>
        <w:ind w:firstLine="480" w:firstLineChars="200"/>
        <w:rPr>
          <w:rStyle w:val="20"/>
          <w:rFonts w:hint="eastAsia" w:ascii="宋体" w:hAnsi="宋体" w:cs="宋体"/>
          <w:sz w:val="24"/>
          <w:u w:val="single"/>
        </w:rPr>
      </w:pPr>
      <w:r>
        <w:rPr>
          <w:rStyle w:val="20"/>
          <w:rFonts w:hint="eastAsia" w:ascii="宋体" w:hAnsi="宋体" w:cs="宋体"/>
          <w:sz w:val="24"/>
        </w:rPr>
        <w:t>帐    号：</w:t>
      </w:r>
      <w:r>
        <w:rPr>
          <w:rStyle w:val="20"/>
          <w:rFonts w:hint="eastAsia" w:ascii="宋体" w:hAnsi="宋体" w:cs="宋体"/>
          <w:sz w:val="24"/>
          <w:u w:val="single"/>
        </w:rPr>
        <w:t xml:space="preserve">                                       </w:t>
      </w:r>
    </w:p>
    <w:p w14:paraId="6583ED27">
      <w:pPr>
        <w:widowControl/>
        <w:snapToGrid w:val="0"/>
        <w:spacing w:line="360" w:lineRule="auto"/>
        <w:ind w:firstLine="480" w:firstLineChars="200"/>
        <w:rPr>
          <w:rStyle w:val="20"/>
          <w:rFonts w:hint="eastAsia" w:ascii="宋体" w:hAnsi="宋体" w:cs="宋体"/>
          <w:sz w:val="24"/>
          <w:u w:val="single"/>
        </w:rPr>
      </w:pPr>
      <w:r>
        <w:rPr>
          <w:rStyle w:val="20"/>
          <w:rFonts w:hint="eastAsia" w:ascii="宋体" w:hAnsi="宋体" w:cs="宋体"/>
          <w:sz w:val="24"/>
        </w:rPr>
        <w:t>电    话：</w:t>
      </w:r>
      <w:r>
        <w:rPr>
          <w:rStyle w:val="20"/>
          <w:rFonts w:hint="eastAsia" w:ascii="宋体" w:hAnsi="宋体" w:cs="宋体"/>
          <w:sz w:val="24"/>
          <w:u w:val="single"/>
        </w:rPr>
        <w:t xml:space="preserve">                                       </w:t>
      </w:r>
    </w:p>
    <w:p w14:paraId="112DE22A">
      <w:pPr>
        <w:widowControl/>
        <w:snapToGrid w:val="0"/>
        <w:spacing w:line="360" w:lineRule="auto"/>
        <w:ind w:firstLine="480" w:firstLineChars="200"/>
        <w:rPr>
          <w:rStyle w:val="20"/>
          <w:rFonts w:hint="eastAsia" w:ascii="宋体" w:hAnsi="宋体" w:cs="宋体"/>
          <w:sz w:val="24"/>
          <w:u w:val="single"/>
        </w:rPr>
      </w:pPr>
      <w:r>
        <w:rPr>
          <w:rStyle w:val="20"/>
          <w:rFonts w:hint="eastAsia" w:ascii="宋体" w:hAnsi="宋体" w:cs="宋体"/>
          <w:sz w:val="24"/>
        </w:rPr>
        <w:t>传    真：</w:t>
      </w:r>
      <w:r>
        <w:rPr>
          <w:rStyle w:val="20"/>
          <w:rFonts w:hint="eastAsia" w:ascii="宋体" w:hAnsi="宋体" w:cs="宋体"/>
          <w:sz w:val="24"/>
          <w:u w:val="single"/>
        </w:rPr>
        <w:t xml:space="preserve">                                       </w:t>
      </w:r>
    </w:p>
    <w:p w14:paraId="284A1570">
      <w:pPr>
        <w:widowControl/>
        <w:snapToGrid w:val="0"/>
        <w:spacing w:line="360" w:lineRule="auto"/>
        <w:ind w:firstLine="480" w:firstLineChars="200"/>
        <w:rPr>
          <w:rStyle w:val="20"/>
          <w:rFonts w:hint="eastAsia" w:ascii="宋体" w:hAnsi="宋体" w:cs="宋体"/>
          <w:sz w:val="24"/>
          <w:u w:val="single"/>
        </w:rPr>
      </w:pPr>
      <w:r>
        <w:rPr>
          <w:rStyle w:val="20"/>
          <w:rFonts w:hint="eastAsia" w:ascii="宋体" w:hAnsi="宋体" w:cs="宋体"/>
          <w:sz w:val="24"/>
        </w:rPr>
        <w:t>邮    编：</w:t>
      </w:r>
      <w:r>
        <w:rPr>
          <w:rStyle w:val="20"/>
          <w:rFonts w:hint="eastAsia" w:ascii="宋体" w:hAnsi="宋体" w:cs="宋体"/>
          <w:sz w:val="24"/>
          <w:u w:val="single"/>
        </w:rPr>
        <w:t xml:space="preserve">                                       </w:t>
      </w:r>
    </w:p>
    <w:p w14:paraId="3D253BA9">
      <w:pPr>
        <w:widowControl/>
        <w:snapToGrid w:val="0"/>
        <w:spacing w:line="360" w:lineRule="auto"/>
        <w:ind w:firstLine="480" w:firstLineChars="200"/>
        <w:rPr>
          <w:rStyle w:val="20"/>
          <w:rFonts w:hint="eastAsia" w:ascii="宋体" w:hAnsi="宋体" w:cs="宋体"/>
          <w:sz w:val="24"/>
          <w:u w:val="single"/>
        </w:rPr>
      </w:pPr>
      <w:r>
        <w:rPr>
          <w:rStyle w:val="20"/>
          <w:rFonts w:hint="eastAsia" w:ascii="宋体" w:hAnsi="宋体" w:cs="宋体"/>
          <w:sz w:val="24"/>
        </w:rPr>
        <w:t>授权代表：</w:t>
      </w:r>
      <w:r>
        <w:rPr>
          <w:rStyle w:val="20"/>
          <w:rFonts w:hint="eastAsia" w:ascii="宋体" w:hAnsi="宋体" w:cs="宋体"/>
          <w:sz w:val="24"/>
          <w:u w:val="single"/>
        </w:rPr>
        <w:t xml:space="preserve">                                       </w:t>
      </w:r>
    </w:p>
    <w:p w14:paraId="586E914B">
      <w:pPr>
        <w:widowControl/>
        <w:snapToGrid w:val="0"/>
        <w:spacing w:line="360" w:lineRule="auto"/>
        <w:ind w:firstLine="480" w:firstLineChars="200"/>
        <w:rPr>
          <w:rStyle w:val="20"/>
          <w:rFonts w:hint="eastAsia" w:ascii="宋体" w:hAnsi="宋体" w:cs="宋体"/>
          <w:sz w:val="24"/>
          <w:u w:val="single"/>
        </w:rPr>
      </w:pPr>
    </w:p>
    <w:p w14:paraId="24C8CE5A">
      <w:pPr>
        <w:widowControl/>
        <w:snapToGrid w:val="0"/>
        <w:spacing w:line="360" w:lineRule="auto"/>
        <w:ind w:firstLine="480" w:firstLineChars="200"/>
        <w:jc w:val="right"/>
        <w:rPr>
          <w:rStyle w:val="20"/>
          <w:rFonts w:hint="eastAsia" w:ascii="宋体" w:hAnsi="宋体" w:cs="宋体"/>
          <w:sz w:val="24"/>
        </w:rPr>
      </w:pPr>
      <w:r>
        <w:rPr>
          <w:rStyle w:val="20"/>
          <w:rFonts w:hint="eastAsia" w:ascii="宋体" w:hAnsi="宋体" w:cs="宋体"/>
          <w:sz w:val="24"/>
        </w:rPr>
        <w:t>年  月  日</w:t>
      </w:r>
    </w:p>
    <w:p w14:paraId="46A11FF2">
      <w:pPr>
        <w:rPr>
          <w:rStyle w:val="20"/>
          <w:rFonts w:hint="eastAsia" w:ascii="宋体" w:hAnsi="宋体" w:cs="宋体"/>
          <w:sz w:val="24"/>
        </w:rPr>
      </w:pPr>
      <w:r>
        <w:rPr>
          <w:rStyle w:val="20"/>
          <w:rFonts w:hint="eastAsia" w:ascii="宋体" w:hAnsi="宋体" w:cs="宋体"/>
          <w:sz w:val="24"/>
        </w:rPr>
        <w:br w:type="page"/>
      </w:r>
    </w:p>
    <w:p w14:paraId="51432BCF">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after="157" w:afterLines="50" w:line="360" w:lineRule="auto"/>
        <w:jc w:val="center"/>
        <w:textAlignment w:val="auto"/>
        <w:outlineLvl w:val="1"/>
        <w:rPr>
          <w:rStyle w:val="20"/>
          <w:rFonts w:hint="eastAsia" w:ascii="宋体" w:hAnsi="宋体" w:cs="宋体"/>
          <w:b/>
          <w:color w:val="000000"/>
          <w:kern w:val="0"/>
          <w:sz w:val="32"/>
          <w:szCs w:val="32"/>
        </w:rPr>
      </w:pPr>
      <w:r>
        <w:rPr>
          <w:rStyle w:val="20"/>
          <w:rFonts w:hint="eastAsia" w:ascii="宋体" w:hAnsi="宋体" w:cs="宋体"/>
          <w:b/>
          <w:color w:val="000000"/>
          <w:kern w:val="0"/>
          <w:sz w:val="32"/>
          <w:szCs w:val="32"/>
          <w:lang w:val="en-US" w:eastAsia="zh-CN"/>
        </w:rPr>
        <w:t xml:space="preserve">第二部分 </w:t>
      </w:r>
      <w:r>
        <w:rPr>
          <w:rStyle w:val="20"/>
          <w:rFonts w:hint="eastAsia" w:ascii="宋体" w:hAnsi="宋体" w:cs="宋体"/>
          <w:b/>
          <w:color w:val="000000"/>
          <w:kern w:val="0"/>
          <w:sz w:val="32"/>
          <w:szCs w:val="32"/>
        </w:rPr>
        <w:t xml:space="preserve"> 报价表</w:t>
      </w:r>
    </w:p>
    <w:p w14:paraId="18F48037">
      <w:pPr>
        <w:pStyle w:val="11"/>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宋体" w:hAnsi="宋体" w:cs="宋体"/>
          <w:b/>
          <w:sz w:val="24"/>
        </w:rPr>
      </w:pPr>
      <w:r>
        <w:rPr>
          <w:rFonts w:hint="eastAsia" w:ascii="宋体" w:hAnsi="宋体" w:cs="宋体"/>
          <w:b/>
          <w:sz w:val="24"/>
        </w:rPr>
        <w:t>1、开标一览表</w:t>
      </w:r>
    </w:p>
    <w:p w14:paraId="76E7738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420" w:leftChars="200"/>
        <w:jc w:val="both"/>
        <w:textAlignment w:val="auto"/>
        <w:rPr>
          <w:rFonts w:hint="eastAsia" w:ascii="宋体" w:hAnsi="宋体" w:cs="宋体"/>
          <w:bCs/>
          <w:sz w:val="24"/>
        </w:rPr>
      </w:pPr>
      <w:r>
        <w:rPr>
          <w:rFonts w:hint="eastAsia" w:ascii="宋体" w:hAnsi="宋体" w:cs="宋体"/>
          <w:bCs/>
          <w:sz w:val="24"/>
        </w:rPr>
        <w:t>项目名称：陕西中医药大学第二附属医院</w:t>
      </w:r>
      <w:r>
        <w:rPr>
          <w:rFonts w:hint="eastAsia" w:ascii="宋体" w:hAnsi="宋体" w:cs="宋体"/>
          <w:bCs/>
          <w:sz w:val="24"/>
          <w:lang w:eastAsia="zh-CN"/>
        </w:rPr>
        <w:t>传染病前置软件接口</w:t>
      </w:r>
      <w:r>
        <w:rPr>
          <w:rFonts w:hint="eastAsia" w:ascii="宋体" w:hAnsi="宋体" w:cs="宋体"/>
          <w:bCs/>
          <w:sz w:val="24"/>
        </w:rPr>
        <w:t>采购项目</w:t>
      </w:r>
    </w:p>
    <w:p w14:paraId="2848E38E">
      <w:pPr>
        <w:keepNext w:val="0"/>
        <w:keepLines w:val="0"/>
        <w:pageBreakBefore w:val="0"/>
        <w:widowControl w:val="0"/>
        <w:kinsoku/>
        <w:wordWrap/>
        <w:overflowPunct/>
        <w:topLinePunct w:val="0"/>
        <w:autoSpaceDE/>
        <w:autoSpaceDN/>
        <w:bidi w:val="0"/>
        <w:adjustRightInd/>
        <w:snapToGrid/>
        <w:spacing w:line="360" w:lineRule="auto"/>
        <w:ind w:left="420" w:leftChars="200"/>
        <w:textAlignment w:val="auto"/>
        <w:rPr>
          <w:rFonts w:hint="eastAsia" w:ascii="宋体" w:hAnsi="宋体" w:cs="宋体"/>
          <w:sz w:val="24"/>
        </w:rPr>
      </w:pPr>
      <w:r>
        <w:rPr>
          <w:rFonts w:hint="eastAsia" w:ascii="宋体" w:hAnsi="宋体" w:cs="宋体"/>
          <w:bCs/>
          <w:sz w:val="24"/>
        </w:rPr>
        <w:t>项目编号：</w:t>
      </w:r>
      <w:r>
        <w:rPr>
          <w:rStyle w:val="20"/>
          <w:rFonts w:hint="eastAsia" w:ascii="宋体" w:hAnsi="宋体" w:cs="宋体"/>
          <w:sz w:val="24"/>
          <w:lang w:eastAsia="zh-CN"/>
        </w:rPr>
        <w:t>SZRFYZB202410-186</w:t>
      </w:r>
      <w:r>
        <w:rPr>
          <w:rFonts w:hint="eastAsia" w:ascii="宋体" w:hAnsi="宋体" w:cs="宋体"/>
          <w:b/>
          <w:snapToGrid w:val="0"/>
          <w:kern w:val="0"/>
          <w:sz w:val="24"/>
        </w:rPr>
        <w:t xml:space="preserve"> </w:t>
      </w:r>
    </w:p>
    <w:tbl>
      <w:tblPr>
        <w:tblStyle w:val="12"/>
        <w:tblpPr w:leftFromText="180" w:rightFromText="180" w:vertAnchor="text" w:horzAnchor="page" w:tblpXSpec="center" w:tblpY="135"/>
        <w:tblOverlap w:val="never"/>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6729"/>
      </w:tblGrid>
      <w:tr w14:paraId="49326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218" w:type="dxa"/>
            <w:vAlign w:val="center"/>
          </w:tcPr>
          <w:p w14:paraId="0F4E97D4">
            <w:pPr>
              <w:widowControl/>
              <w:spacing w:line="360" w:lineRule="auto"/>
              <w:jc w:val="center"/>
              <w:rPr>
                <w:rFonts w:hint="eastAsia" w:ascii="宋体" w:hAnsi="宋体" w:cs="宋体"/>
                <w:b/>
                <w:bCs/>
                <w:sz w:val="24"/>
              </w:rPr>
            </w:pPr>
            <w:r>
              <w:rPr>
                <w:rFonts w:hint="eastAsia" w:ascii="宋体" w:hAnsi="宋体" w:cs="宋体"/>
                <w:b/>
                <w:bCs/>
                <w:sz w:val="24"/>
              </w:rPr>
              <w:t>单位名称</w:t>
            </w:r>
          </w:p>
        </w:tc>
        <w:tc>
          <w:tcPr>
            <w:tcW w:w="6729" w:type="dxa"/>
            <w:vAlign w:val="center"/>
          </w:tcPr>
          <w:p w14:paraId="5523604E">
            <w:pPr>
              <w:widowControl/>
              <w:spacing w:line="360" w:lineRule="auto"/>
              <w:jc w:val="center"/>
              <w:rPr>
                <w:rFonts w:hint="eastAsia" w:ascii="宋体" w:hAnsi="宋体" w:cs="宋体"/>
                <w:b/>
                <w:bCs/>
                <w:sz w:val="24"/>
              </w:rPr>
            </w:pPr>
          </w:p>
        </w:tc>
      </w:tr>
      <w:tr w14:paraId="3A537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218" w:type="dxa"/>
            <w:vAlign w:val="center"/>
          </w:tcPr>
          <w:p w14:paraId="2D3FDC1C">
            <w:pPr>
              <w:widowControl/>
              <w:spacing w:line="360" w:lineRule="auto"/>
              <w:jc w:val="center"/>
              <w:rPr>
                <w:rFonts w:hint="eastAsia" w:ascii="宋体" w:hAnsi="宋体" w:cs="宋体"/>
                <w:bCs/>
                <w:sz w:val="24"/>
                <w:u w:val="single"/>
              </w:rPr>
            </w:pPr>
            <w:r>
              <w:rPr>
                <w:rFonts w:hint="eastAsia" w:ascii="宋体" w:hAnsi="宋体" w:cs="宋体"/>
                <w:bCs/>
                <w:sz w:val="24"/>
              </w:rPr>
              <w:t>报价合计</w:t>
            </w:r>
          </w:p>
        </w:tc>
        <w:tc>
          <w:tcPr>
            <w:tcW w:w="6729" w:type="dxa"/>
            <w:vAlign w:val="center"/>
          </w:tcPr>
          <w:p w14:paraId="05EBDFBD">
            <w:pPr>
              <w:widowControl/>
              <w:spacing w:line="360" w:lineRule="auto"/>
              <w:jc w:val="left"/>
              <w:rPr>
                <w:rFonts w:hint="eastAsia" w:ascii="宋体" w:hAnsi="宋体" w:cs="宋体"/>
                <w:bCs/>
                <w:sz w:val="24"/>
                <w:u w:val="single"/>
              </w:rPr>
            </w:pPr>
            <w:r>
              <w:rPr>
                <w:rFonts w:hint="eastAsia" w:ascii="宋体" w:hAnsi="宋体" w:cs="宋体"/>
                <w:bCs/>
                <w:sz w:val="24"/>
              </w:rPr>
              <w:t>大写：</w:t>
            </w:r>
            <w:r>
              <w:rPr>
                <w:rFonts w:hint="eastAsia" w:ascii="宋体" w:hAnsi="宋体" w:cs="宋体"/>
                <w:bCs/>
                <w:sz w:val="24"/>
                <w:u w:val="single"/>
              </w:rPr>
              <w:t xml:space="preserve">                 </w:t>
            </w:r>
          </w:p>
          <w:p w14:paraId="44F306AA">
            <w:pPr>
              <w:widowControl/>
              <w:spacing w:line="360" w:lineRule="auto"/>
              <w:jc w:val="left"/>
              <w:rPr>
                <w:rFonts w:hint="eastAsia" w:ascii="宋体" w:hAnsi="宋体" w:cs="宋体"/>
                <w:bCs/>
                <w:sz w:val="24"/>
              </w:rPr>
            </w:pPr>
            <w:r>
              <w:rPr>
                <w:rFonts w:hint="eastAsia" w:ascii="宋体" w:hAnsi="宋体" w:cs="宋体"/>
                <w:bCs/>
                <w:sz w:val="24"/>
              </w:rPr>
              <w:t>小写：￥</w:t>
            </w:r>
            <w:r>
              <w:rPr>
                <w:rFonts w:hint="eastAsia" w:ascii="宋体" w:hAnsi="宋体" w:cs="宋体"/>
                <w:bCs/>
                <w:sz w:val="24"/>
                <w:u w:val="single"/>
              </w:rPr>
              <w:t xml:space="preserve">               </w:t>
            </w:r>
          </w:p>
        </w:tc>
      </w:tr>
      <w:tr w14:paraId="56901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18" w:type="dxa"/>
            <w:vAlign w:val="center"/>
          </w:tcPr>
          <w:p w14:paraId="2F6EE9F7">
            <w:pPr>
              <w:widowControl/>
              <w:spacing w:line="360" w:lineRule="auto"/>
              <w:jc w:val="center"/>
              <w:rPr>
                <w:rFonts w:hint="eastAsia" w:ascii="宋体" w:hAnsi="宋体" w:cs="宋体"/>
                <w:bCs/>
                <w:color w:val="000000"/>
                <w:kern w:val="0"/>
                <w:sz w:val="24"/>
                <w:lang w:bidi="ar"/>
              </w:rPr>
            </w:pPr>
            <w:r>
              <w:rPr>
                <w:rFonts w:hint="eastAsia" w:ascii="宋体" w:hAnsi="宋体" w:cs="宋体"/>
                <w:bCs/>
                <w:color w:val="000000"/>
                <w:kern w:val="0"/>
                <w:sz w:val="24"/>
                <w:lang w:bidi="ar"/>
              </w:rPr>
              <w:t>供货期</w:t>
            </w:r>
          </w:p>
        </w:tc>
        <w:tc>
          <w:tcPr>
            <w:tcW w:w="6729" w:type="dxa"/>
            <w:vAlign w:val="center"/>
          </w:tcPr>
          <w:p w14:paraId="4D126A98">
            <w:pPr>
              <w:widowControl/>
              <w:spacing w:line="360" w:lineRule="auto"/>
              <w:jc w:val="left"/>
              <w:rPr>
                <w:rFonts w:hint="eastAsia" w:ascii="宋体" w:hAnsi="宋体" w:cs="宋体"/>
                <w:bCs/>
                <w:sz w:val="24"/>
              </w:rPr>
            </w:pPr>
          </w:p>
        </w:tc>
      </w:tr>
      <w:tr w14:paraId="247D9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947" w:type="dxa"/>
            <w:gridSpan w:val="2"/>
            <w:vAlign w:val="center"/>
          </w:tcPr>
          <w:p w14:paraId="70AC7E7E">
            <w:pPr>
              <w:widowControl/>
              <w:spacing w:line="360" w:lineRule="auto"/>
              <w:jc w:val="left"/>
              <w:rPr>
                <w:rFonts w:hint="eastAsia" w:ascii="宋体" w:hAnsi="宋体" w:cs="宋体"/>
                <w:b/>
                <w:bCs/>
                <w:sz w:val="24"/>
              </w:rPr>
            </w:pPr>
            <w:r>
              <w:rPr>
                <w:rFonts w:hint="eastAsia" w:ascii="宋体" w:hAnsi="宋体" w:cs="宋体"/>
                <w:b/>
                <w:bCs/>
                <w:sz w:val="24"/>
              </w:rPr>
              <w:t>备注：本开标一览表以“元”为单位，保留小数点两位。</w:t>
            </w:r>
          </w:p>
        </w:tc>
      </w:tr>
    </w:tbl>
    <w:p w14:paraId="012C6FD2">
      <w:pPr>
        <w:pStyle w:val="4"/>
        <w:spacing w:line="360" w:lineRule="auto"/>
        <w:ind w:firstLine="482"/>
        <w:jc w:val="left"/>
        <w:rPr>
          <w:rFonts w:hint="eastAsia" w:ascii="宋体" w:hAnsi="宋体" w:cs="宋体"/>
          <w:sz w:val="24"/>
        </w:rPr>
      </w:pPr>
      <w:r>
        <w:rPr>
          <w:rFonts w:hint="eastAsia" w:ascii="宋体" w:hAnsi="宋体" w:cs="宋体"/>
          <w:b/>
          <w:bCs/>
          <w:sz w:val="24"/>
          <w:lang w:bidi="ar"/>
        </w:rPr>
        <w:t>备注： 以上报价为含税报价。</w:t>
      </w:r>
    </w:p>
    <w:p w14:paraId="20CA6C1C">
      <w:pPr>
        <w:widowControl/>
        <w:spacing w:line="360" w:lineRule="auto"/>
        <w:jc w:val="left"/>
        <w:rPr>
          <w:rFonts w:hint="eastAsia" w:ascii="宋体" w:hAnsi="宋体" w:cs="宋体"/>
          <w:b/>
          <w:bCs/>
          <w:color w:val="FF0000"/>
          <w:sz w:val="24"/>
          <w:lang w:val="zh-CN"/>
        </w:rPr>
      </w:pPr>
    </w:p>
    <w:p w14:paraId="10A23715">
      <w:pPr>
        <w:spacing w:line="360" w:lineRule="auto"/>
        <w:rPr>
          <w:rFonts w:hint="eastAsia" w:ascii="宋体" w:hAnsi="宋体" w:cs="宋体"/>
          <w:b/>
          <w:bCs/>
          <w:sz w:val="24"/>
        </w:rPr>
      </w:pPr>
    </w:p>
    <w:p w14:paraId="3A27D57E">
      <w:pPr>
        <w:spacing w:line="360" w:lineRule="auto"/>
        <w:ind w:firstLine="480" w:firstLineChars="200"/>
        <w:jc w:val="right"/>
        <w:rPr>
          <w:rFonts w:hint="eastAsia" w:ascii="宋体" w:hAnsi="宋体" w:cs="宋体"/>
          <w:bCs/>
          <w:sz w:val="24"/>
        </w:rPr>
      </w:pPr>
      <w:r>
        <w:rPr>
          <w:rFonts w:hint="eastAsia" w:ascii="宋体" w:hAnsi="宋体" w:cs="宋体"/>
          <w:bCs/>
          <w:sz w:val="24"/>
        </w:rPr>
        <w:t>供应商名称（公章）：</w:t>
      </w:r>
    </w:p>
    <w:p w14:paraId="25360F17">
      <w:pPr>
        <w:spacing w:line="360" w:lineRule="auto"/>
        <w:ind w:firstLine="480" w:firstLineChars="200"/>
        <w:jc w:val="right"/>
        <w:rPr>
          <w:rFonts w:hint="eastAsia" w:ascii="宋体" w:hAnsi="宋体" w:cs="宋体"/>
          <w:sz w:val="24"/>
        </w:rPr>
      </w:pPr>
      <w:r>
        <w:rPr>
          <w:rFonts w:hint="eastAsia" w:ascii="宋体" w:hAnsi="宋体" w:cs="宋体"/>
          <w:bCs/>
          <w:sz w:val="24"/>
        </w:rPr>
        <w:t xml:space="preserve">                        法定代表人或授权委托人（签字或盖章）：</w:t>
      </w:r>
    </w:p>
    <w:p w14:paraId="25EDAC17">
      <w:pPr>
        <w:spacing w:line="360" w:lineRule="auto"/>
        <w:ind w:firstLine="480" w:firstLineChars="200"/>
        <w:jc w:val="center"/>
        <w:rPr>
          <w:rFonts w:hint="eastAsia" w:ascii="宋体" w:hAnsi="宋体" w:cs="宋体"/>
          <w:sz w:val="24"/>
        </w:rPr>
      </w:pPr>
      <w:r>
        <w:rPr>
          <w:rFonts w:hint="eastAsia" w:ascii="宋体" w:hAnsi="宋体" w:cs="宋体"/>
          <w:sz w:val="24"/>
        </w:rPr>
        <w:t xml:space="preserve">                                                年   月    日</w:t>
      </w:r>
    </w:p>
    <w:p w14:paraId="29EFB3D1">
      <w:pPr>
        <w:pStyle w:val="11"/>
        <w:ind w:firstLine="480"/>
        <w:rPr>
          <w:rFonts w:hint="eastAsia" w:ascii="宋体" w:hAnsi="宋体" w:cs="宋体"/>
          <w:sz w:val="24"/>
        </w:rPr>
      </w:pPr>
    </w:p>
    <w:p w14:paraId="6BD21B03">
      <w:pPr>
        <w:pStyle w:val="11"/>
        <w:ind w:firstLine="480"/>
        <w:rPr>
          <w:rFonts w:hint="eastAsia" w:ascii="宋体" w:hAnsi="宋体" w:cs="宋体"/>
          <w:sz w:val="24"/>
        </w:rPr>
      </w:pPr>
    </w:p>
    <w:p w14:paraId="766323DE">
      <w:pPr>
        <w:pStyle w:val="11"/>
        <w:ind w:firstLine="480"/>
        <w:rPr>
          <w:rFonts w:hint="eastAsia" w:ascii="宋体" w:hAnsi="宋体" w:cs="宋体"/>
          <w:sz w:val="24"/>
        </w:rPr>
      </w:pPr>
    </w:p>
    <w:p w14:paraId="5463FD80">
      <w:pPr>
        <w:pStyle w:val="11"/>
        <w:ind w:firstLine="480"/>
        <w:rPr>
          <w:rFonts w:hint="eastAsia" w:ascii="宋体" w:hAnsi="宋体" w:cs="宋体"/>
          <w:sz w:val="24"/>
        </w:rPr>
      </w:pPr>
    </w:p>
    <w:p w14:paraId="1B00E919">
      <w:pPr>
        <w:pStyle w:val="11"/>
        <w:ind w:firstLine="480"/>
        <w:rPr>
          <w:rFonts w:hint="eastAsia" w:ascii="宋体" w:hAnsi="宋体" w:cs="宋体"/>
          <w:sz w:val="24"/>
        </w:rPr>
      </w:pPr>
    </w:p>
    <w:p w14:paraId="0CFB3682">
      <w:pPr>
        <w:pStyle w:val="11"/>
        <w:ind w:firstLine="480"/>
        <w:rPr>
          <w:rFonts w:hint="eastAsia" w:ascii="宋体" w:hAnsi="宋体" w:cs="宋体"/>
          <w:sz w:val="24"/>
        </w:rPr>
      </w:pPr>
    </w:p>
    <w:p w14:paraId="12A886D8">
      <w:pPr>
        <w:rPr>
          <w:rFonts w:hint="eastAsia" w:ascii="宋体" w:hAnsi="宋体" w:cs="宋体"/>
          <w:sz w:val="24"/>
        </w:rPr>
      </w:pPr>
      <w:r>
        <w:rPr>
          <w:rFonts w:hint="eastAsia" w:ascii="宋体" w:hAnsi="宋体" w:cs="宋体"/>
          <w:sz w:val="24"/>
        </w:rPr>
        <w:br w:type="page"/>
      </w:r>
    </w:p>
    <w:p w14:paraId="436AF7DC">
      <w:pPr>
        <w:pStyle w:val="11"/>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0" w:leftChars="200" w:firstLine="0" w:firstLineChars="0"/>
        <w:jc w:val="left"/>
        <w:textAlignment w:val="auto"/>
        <w:rPr>
          <w:rFonts w:hint="eastAsia" w:ascii="宋体" w:hAnsi="宋体" w:cs="宋体"/>
          <w:b/>
          <w:sz w:val="24"/>
        </w:rPr>
      </w:pPr>
      <w:r>
        <w:rPr>
          <w:rFonts w:hint="eastAsia" w:ascii="宋体" w:hAnsi="宋体" w:cs="宋体"/>
          <w:b/>
          <w:sz w:val="24"/>
        </w:rPr>
        <w:t>分项报价表</w:t>
      </w:r>
    </w:p>
    <w:p w14:paraId="79B39DD7">
      <w:pPr>
        <w:spacing w:line="360" w:lineRule="auto"/>
        <w:ind w:firstLine="480" w:firstLineChars="200"/>
        <w:jc w:val="left"/>
        <w:rPr>
          <w:rFonts w:hint="eastAsia" w:ascii="宋体" w:hAnsi="宋体" w:cs="宋体"/>
          <w:bCs/>
          <w:sz w:val="24"/>
        </w:rPr>
      </w:pPr>
    </w:p>
    <w:tbl>
      <w:tblPr>
        <w:tblStyle w:val="12"/>
        <w:tblW w:w="9369" w:type="dxa"/>
        <w:tblInd w:w="-318" w:type="dxa"/>
        <w:tblLayout w:type="fixed"/>
        <w:tblCellMar>
          <w:top w:w="0" w:type="dxa"/>
          <w:left w:w="108" w:type="dxa"/>
          <w:bottom w:w="0" w:type="dxa"/>
          <w:right w:w="108" w:type="dxa"/>
        </w:tblCellMar>
      </w:tblPr>
      <w:tblGrid>
        <w:gridCol w:w="709"/>
        <w:gridCol w:w="1559"/>
        <w:gridCol w:w="1379"/>
        <w:gridCol w:w="1322"/>
        <w:gridCol w:w="825"/>
        <w:gridCol w:w="875"/>
        <w:gridCol w:w="1181"/>
        <w:gridCol w:w="1519"/>
      </w:tblGrid>
      <w:tr w14:paraId="095B5132">
        <w:tblPrEx>
          <w:tblCellMar>
            <w:top w:w="0" w:type="dxa"/>
            <w:left w:w="108" w:type="dxa"/>
            <w:bottom w:w="0" w:type="dxa"/>
            <w:right w:w="108" w:type="dxa"/>
          </w:tblCellMar>
        </w:tblPrEx>
        <w:trPr>
          <w:trHeight w:val="510" w:hRule="atLeast"/>
        </w:trPr>
        <w:tc>
          <w:tcPr>
            <w:tcW w:w="709" w:type="dxa"/>
            <w:tcBorders>
              <w:top w:val="single" w:color="auto" w:sz="4" w:space="0"/>
              <w:left w:val="single" w:color="auto" w:sz="4" w:space="0"/>
              <w:bottom w:val="single" w:color="auto" w:sz="4" w:space="0"/>
              <w:right w:val="single" w:color="auto" w:sz="4" w:space="0"/>
            </w:tcBorders>
            <w:vAlign w:val="center"/>
          </w:tcPr>
          <w:p w14:paraId="7ABB4906">
            <w:pPr>
              <w:widowControl/>
              <w:spacing w:line="360" w:lineRule="auto"/>
              <w:jc w:val="center"/>
              <w:rPr>
                <w:rFonts w:ascii="Times New Roman" w:hAnsi="Times New Roman"/>
                <w:bCs/>
                <w:kern w:val="0"/>
                <w:sz w:val="24"/>
              </w:rPr>
            </w:pPr>
            <w:r>
              <w:rPr>
                <w:rFonts w:ascii="Times New Roman" w:hAnsi="Times New Roman"/>
                <w:bCs/>
                <w:kern w:val="0"/>
                <w:sz w:val="24"/>
              </w:rPr>
              <w:t>序号</w:t>
            </w:r>
          </w:p>
        </w:tc>
        <w:tc>
          <w:tcPr>
            <w:tcW w:w="1559" w:type="dxa"/>
            <w:tcBorders>
              <w:top w:val="single" w:color="auto" w:sz="4" w:space="0"/>
              <w:left w:val="nil"/>
              <w:bottom w:val="single" w:color="auto" w:sz="4" w:space="0"/>
              <w:right w:val="single" w:color="auto" w:sz="4" w:space="0"/>
            </w:tcBorders>
            <w:vAlign w:val="center"/>
          </w:tcPr>
          <w:p w14:paraId="7DED5832">
            <w:pPr>
              <w:widowControl/>
              <w:spacing w:line="360" w:lineRule="auto"/>
              <w:jc w:val="center"/>
              <w:rPr>
                <w:rFonts w:ascii="Times New Roman" w:hAnsi="Times New Roman"/>
                <w:bCs/>
                <w:kern w:val="0"/>
                <w:sz w:val="24"/>
              </w:rPr>
            </w:pPr>
            <w:r>
              <w:rPr>
                <w:rFonts w:ascii="Times New Roman" w:hAnsi="Times New Roman"/>
                <w:bCs/>
                <w:kern w:val="0"/>
                <w:sz w:val="24"/>
              </w:rPr>
              <w:t>分项名称</w:t>
            </w:r>
          </w:p>
        </w:tc>
        <w:tc>
          <w:tcPr>
            <w:tcW w:w="1379" w:type="dxa"/>
            <w:tcBorders>
              <w:top w:val="single" w:color="auto" w:sz="4" w:space="0"/>
              <w:left w:val="nil"/>
              <w:bottom w:val="single" w:color="auto" w:sz="4" w:space="0"/>
              <w:right w:val="single" w:color="auto" w:sz="4" w:space="0"/>
            </w:tcBorders>
            <w:vAlign w:val="center"/>
          </w:tcPr>
          <w:p w14:paraId="155D8175">
            <w:pPr>
              <w:widowControl/>
              <w:spacing w:line="360" w:lineRule="auto"/>
              <w:jc w:val="center"/>
              <w:rPr>
                <w:rFonts w:ascii="Times New Roman" w:hAnsi="Times New Roman"/>
                <w:bCs/>
                <w:kern w:val="0"/>
                <w:sz w:val="24"/>
              </w:rPr>
            </w:pPr>
            <w:r>
              <w:rPr>
                <w:rFonts w:hint="eastAsia" w:ascii="Times New Roman" w:hAnsi="Times New Roman"/>
                <w:bCs/>
                <w:kern w:val="0"/>
                <w:sz w:val="24"/>
              </w:rPr>
              <w:t>型号</w:t>
            </w:r>
          </w:p>
        </w:tc>
        <w:tc>
          <w:tcPr>
            <w:tcW w:w="1322" w:type="dxa"/>
            <w:tcBorders>
              <w:top w:val="single" w:color="auto" w:sz="4" w:space="0"/>
              <w:left w:val="nil"/>
              <w:bottom w:val="single" w:color="auto" w:sz="4" w:space="0"/>
              <w:right w:val="single" w:color="auto" w:sz="4" w:space="0"/>
            </w:tcBorders>
            <w:vAlign w:val="center"/>
          </w:tcPr>
          <w:p w14:paraId="3F3C32C1">
            <w:pPr>
              <w:spacing w:line="360" w:lineRule="auto"/>
              <w:jc w:val="center"/>
              <w:rPr>
                <w:bCs/>
                <w:sz w:val="24"/>
              </w:rPr>
            </w:pPr>
            <w:r>
              <w:rPr>
                <w:rFonts w:hint="eastAsia"/>
                <w:bCs/>
                <w:sz w:val="24"/>
              </w:rPr>
              <w:t>品牌</w:t>
            </w:r>
          </w:p>
        </w:tc>
        <w:tc>
          <w:tcPr>
            <w:tcW w:w="825" w:type="dxa"/>
            <w:tcBorders>
              <w:top w:val="single" w:color="auto" w:sz="4" w:space="0"/>
              <w:left w:val="nil"/>
              <w:bottom w:val="single" w:color="auto" w:sz="4" w:space="0"/>
              <w:right w:val="single" w:color="auto" w:sz="4" w:space="0"/>
            </w:tcBorders>
            <w:vAlign w:val="center"/>
          </w:tcPr>
          <w:p w14:paraId="0373FA5F">
            <w:pPr>
              <w:widowControl/>
              <w:spacing w:line="360" w:lineRule="auto"/>
              <w:jc w:val="center"/>
              <w:rPr>
                <w:rFonts w:ascii="Times New Roman" w:hAnsi="Times New Roman"/>
                <w:bCs/>
                <w:kern w:val="0"/>
                <w:sz w:val="24"/>
              </w:rPr>
            </w:pPr>
            <w:r>
              <w:rPr>
                <w:rFonts w:hint="eastAsia"/>
                <w:bCs/>
                <w:kern w:val="0"/>
                <w:sz w:val="24"/>
              </w:rPr>
              <w:t>单位</w:t>
            </w:r>
          </w:p>
        </w:tc>
        <w:tc>
          <w:tcPr>
            <w:tcW w:w="875" w:type="dxa"/>
            <w:tcBorders>
              <w:top w:val="single" w:color="auto" w:sz="4" w:space="0"/>
              <w:left w:val="nil"/>
              <w:bottom w:val="single" w:color="auto" w:sz="4" w:space="0"/>
              <w:right w:val="single" w:color="auto" w:sz="4" w:space="0"/>
            </w:tcBorders>
            <w:vAlign w:val="center"/>
          </w:tcPr>
          <w:p w14:paraId="1358C357">
            <w:pPr>
              <w:widowControl/>
              <w:spacing w:line="360" w:lineRule="auto"/>
              <w:jc w:val="center"/>
              <w:rPr>
                <w:rFonts w:ascii="Times New Roman" w:hAnsi="Times New Roman"/>
                <w:bCs/>
                <w:kern w:val="0"/>
                <w:sz w:val="24"/>
              </w:rPr>
            </w:pPr>
            <w:r>
              <w:rPr>
                <w:rFonts w:ascii="Times New Roman" w:hAnsi="Times New Roman"/>
                <w:bCs/>
                <w:kern w:val="0"/>
                <w:sz w:val="24"/>
              </w:rPr>
              <w:t>数量</w:t>
            </w:r>
          </w:p>
        </w:tc>
        <w:tc>
          <w:tcPr>
            <w:tcW w:w="1181" w:type="dxa"/>
            <w:tcBorders>
              <w:top w:val="single" w:color="auto" w:sz="4" w:space="0"/>
              <w:left w:val="nil"/>
              <w:bottom w:val="single" w:color="auto" w:sz="4" w:space="0"/>
              <w:right w:val="single" w:color="auto" w:sz="4" w:space="0"/>
            </w:tcBorders>
            <w:vAlign w:val="center"/>
          </w:tcPr>
          <w:p w14:paraId="4F4A9641">
            <w:pPr>
              <w:widowControl/>
              <w:spacing w:line="360" w:lineRule="auto"/>
              <w:jc w:val="center"/>
              <w:rPr>
                <w:rFonts w:ascii="Times New Roman" w:hAnsi="Times New Roman"/>
                <w:bCs/>
                <w:kern w:val="0"/>
                <w:sz w:val="24"/>
              </w:rPr>
            </w:pPr>
            <w:r>
              <w:rPr>
                <w:rFonts w:ascii="Times New Roman" w:hAnsi="Times New Roman"/>
                <w:bCs/>
                <w:kern w:val="0"/>
                <w:sz w:val="24"/>
              </w:rPr>
              <w:t>单价（元）</w:t>
            </w:r>
          </w:p>
        </w:tc>
        <w:tc>
          <w:tcPr>
            <w:tcW w:w="1519" w:type="dxa"/>
            <w:tcBorders>
              <w:top w:val="single" w:color="auto" w:sz="4" w:space="0"/>
              <w:left w:val="nil"/>
              <w:bottom w:val="single" w:color="auto" w:sz="4" w:space="0"/>
              <w:right w:val="single" w:color="auto" w:sz="4" w:space="0"/>
            </w:tcBorders>
            <w:vAlign w:val="center"/>
          </w:tcPr>
          <w:p w14:paraId="7B73178C">
            <w:pPr>
              <w:widowControl/>
              <w:spacing w:line="360" w:lineRule="auto"/>
              <w:jc w:val="center"/>
              <w:rPr>
                <w:rFonts w:ascii="Times New Roman" w:hAnsi="Times New Roman"/>
                <w:bCs/>
                <w:kern w:val="0"/>
                <w:sz w:val="24"/>
              </w:rPr>
            </w:pPr>
            <w:r>
              <w:rPr>
                <w:rFonts w:hint="eastAsia" w:ascii="Times New Roman" w:hAnsi="Times New Roman"/>
                <w:bCs/>
                <w:kern w:val="0"/>
                <w:sz w:val="24"/>
              </w:rPr>
              <w:t>合计（元）</w:t>
            </w:r>
          </w:p>
        </w:tc>
      </w:tr>
      <w:tr w14:paraId="5F6BBB2E">
        <w:tblPrEx>
          <w:tblCellMar>
            <w:top w:w="0" w:type="dxa"/>
            <w:left w:w="108" w:type="dxa"/>
            <w:bottom w:w="0" w:type="dxa"/>
            <w:right w:w="108" w:type="dxa"/>
          </w:tblCellMar>
        </w:tblPrEx>
        <w:trPr>
          <w:trHeight w:val="510" w:hRule="atLeast"/>
        </w:trPr>
        <w:tc>
          <w:tcPr>
            <w:tcW w:w="709" w:type="dxa"/>
            <w:tcBorders>
              <w:top w:val="nil"/>
              <w:left w:val="single" w:color="auto" w:sz="4" w:space="0"/>
              <w:bottom w:val="single" w:color="auto" w:sz="4" w:space="0"/>
              <w:right w:val="single" w:color="auto" w:sz="4" w:space="0"/>
            </w:tcBorders>
            <w:vAlign w:val="center"/>
          </w:tcPr>
          <w:p w14:paraId="0F469E0B">
            <w:pPr>
              <w:widowControl/>
              <w:spacing w:line="360" w:lineRule="auto"/>
              <w:jc w:val="center"/>
              <w:rPr>
                <w:rFonts w:ascii="Times New Roman" w:hAnsi="Times New Roman"/>
                <w:bCs/>
                <w:kern w:val="0"/>
                <w:sz w:val="24"/>
              </w:rPr>
            </w:pPr>
            <w:r>
              <w:rPr>
                <w:rFonts w:ascii="Times New Roman" w:hAnsi="Times New Roman"/>
                <w:bCs/>
                <w:kern w:val="0"/>
                <w:sz w:val="24"/>
              </w:rPr>
              <w:t>1</w:t>
            </w:r>
          </w:p>
        </w:tc>
        <w:tc>
          <w:tcPr>
            <w:tcW w:w="1559" w:type="dxa"/>
            <w:tcBorders>
              <w:top w:val="nil"/>
              <w:left w:val="nil"/>
              <w:bottom w:val="single" w:color="auto" w:sz="4" w:space="0"/>
              <w:right w:val="single" w:color="auto" w:sz="4" w:space="0"/>
            </w:tcBorders>
            <w:vAlign w:val="center"/>
          </w:tcPr>
          <w:p w14:paraId="2329CC49">
            <w:pPr>
              <w:widowControl/>
              <w:spacing w:line="360" w:lineRule="auto"/>
              <w:jc w:val="center"/>
              <w:rPr>
                <w:rFonts w:ascii="Times New Roman" w:hAnsi="Times New Roman"/>
                <w:bCs/>
                <w:kern w:val="0"/>
                <w:sz w:val="24"/>
              </w:rPr>
            </w:pPr>
          </w:p>
        </w:tc>
        <w:tc>
          <w:tcPr>
            <w:tcW w:w="1379" w:type="dxa"/>
            <w:tcBorders>
              <w:top w:val="single" w:color="auto" w:sz="4" w:space="0"/>
              <w:left w:val="nil"/>
              <w:bottom w:val="single" w:color="auto" w:sz="4" w:space="0"/>
              <w:right w:val="single" w:color="auto" w:sz="4" w:space="0"/>
            </w:tcBorders>
          </w:tcPr>
          <w:p w14:paraId="158EE084">
            <w:pPr>
              <w:spacing w:line="360" w:lineRule="auto"/>
              <w:ind w:firstLine="120" w:firstLineChars="50"/>
              <w:jc w:val="center"/>
              <w:rPr>
                <w:rFonts w:ascii="Times New Roman" w:hAnsi="Times New Roman"/>
                <w:bCs/>
                <w:kern w:val="0"/>
                <w:sz w:val="24"/>
              </w:rPr>
            </w:pPr>
          </w:p>
        </w:tc>
        <w:tc>
          <w:tcPr>
            <w:tcW w:w="1322" w:type="dxa"/>
            <w:tcBorders>
              <w:top w:val="single" w:color="auto" w:sz="4" w:space="0"/>
              <w:left w:val="nil"/>
              <w:bottom w:val="single" w:color="auto" w:sz="4" w:space="0"/>
              <w:right w:val="single" w:color="auto" w:sz="4" w:space="0"/>
            </w:tcBorders>
            <w:vAlign w:val="center"/>
          </w:tcPr>
          <w:p w14:paraId="2547F32F">
            <w:pPr>
              <w:spacing w:line="360" w:lineRule="auto"/>
              <w:jc w:val="center"/>
              <w:rPr>
                <w:rFonts w:ascii="Times New Roman" w:hAnsi="Times New Roman"/>
                <w:bCs/>
                <w:kern w:val="0"/>
                <w:sz w:val="24"/>
              </w:rPr>
            </w:pPr>
          </w:p>
        </w:tc>
        <w:tc>
          <w:tcPr>
            <w:tcW w:w="825" w:type="dxa"/>
            <w:tcBorders>
              <w:top w:val="single" w:color="auto" w:sz="4" w:space="0"/>
              <w:left w:val="nil"/>
              <w:bottom w:val="single" w:color="auto" w:sz="4" w:space="0"/>
              <w:right w:val="single" w:color="auto" w:sz="4" w:space="0"/>
            </w:tcBorders>
            <w:vAlign w:val="center"/>
          </w:tcPr>
          <w:p w14:paraId="544913A3">
            <w:pPr>
              <w:spacing w:line="360" w:lineRule="auto"/>
              <w:jc w:val="center"/>
              <w:rPr>
                <w:rFonts w:ascii="Times New Roman" w:hAnsi="Times New Roman"/>
                <w:bCs/>
                <w:kern w:val="0"/>
                <w:sz w:val="24"/>
              </w:rPr>
            </w:pPr>
          </w:p>
        </w:tc>
        <w:tc>
          <w:tcPr>
            <w:tcW w:w="875" w:type="dxa"/>
            <w:tcBorders>
              <w:top w:val="single" w:color="auto" w:sz="4" w:space="0"/>
              <w:left w:val="nil"/>
              <w:bottom w:val="single" w:color="auto" w:sz="4" w:space="0"/>
              <w:right w:val="single" w:color="auto" w:sz="4" w:space="0"/>
            </w:tcBorders>
            <w:vAlign w:val="center"/>
          </w:tcPr>
          <w:p w14:paraId="12832B96">
            <w:pPr>
              <w:spacing w:line="360" w:lineRule="auto"/>
              <w:jc w:val="center"/>
              <w:rPr>
                <w:rFonts w:ascii="Times New Roman" w:hAnsi="Times New Roman"/>
                <w:bCs/>
                <w:kern w:val="0"/>
                <w:sz w:val="24"/>
              </w:rPr>
            </w:pPr>
          </w:p>
        </w:tc>
        <w:tc>
          <w:tcPr>
            <w:tcW w:w="1181" w:type="dxa"/>
            <w:tcBorders>
              <w:top w:val="nil"/>
              <w:left w:val="nil"/>
              <w:bottom w:val="single" w:color="auto" w:sz="4" w:space="0"/>
              <w:right w:val="single" w:color="auto" w:sz="4" w:space="0"/>
            </w:tcBorders>
            <w:vAlign w:val="center"/>
          </w:tcPr>
          <w:p w14:paraId="4D2BC506">
            <w:pPr>
              <w:widowControl/>
              <w:spacing w:line="360" w:lineRule="auto"/>
              <w:jc w:val="center"/>
              <w:rPr>
                <w:rFonts w:ascii="Times New Roman" w:hAnsi="Times New Roman"/>
                <w:bCs/>
                <w:kern w:val="0"/>
                <w:sz w:val="24"/>
              </w:rPr>
            </w:pPr>
          </w:p>
        </w:tc>
        <w:tc>
          <w:tcPr>
            <w:tcW w:w="1519" w:type="dxa"/>
            <w:tcBorders>
              <w:top w:val="nil"/>
              <w:left w:val="nil"/>
              <w:bottom w:val="single" w:color="auto" w:sz="4" w:space="0"/>
              <w:right w:val="single" w:color="auto" w:sz="4" w:space="0"/>
            </w:tcBorders>
          </w:tcPr>
          <w:p w14:paraId="2332657A">
            <w:pPr>
              <w:widowControl/>
              <w:spacing w:line="360" w:lineRule="auto"/>
              <w:jc w:val="center"/>
              <w:rPr>
                <w:rFonts w:ascii="Times New Roman" w:hAnsi="Times New Roman"/>
                <w:bCs/>
                <w:kern w:val="0"/>
                <w:sz w:val="24"/>
              </w:rPr>
            </w:pPr>
          </w:p>
        </w:tc>
      </w:tr>
      <w:tr w14:paraId="1180CFF9">
        <w:tblPrEx>
          <w:tblCellMar>
            <w:top w:w="0" w:type="dxa"/>
            <w:left w:w="108" w:type="dxa"/>
            <w:bottom w:w="0" w:type="dxa"/>
            <w:right w:w="108" w:type="dxa"/>
          </w:tblCellMar>
        </w:tblPrEx>
        <w:trPr>
          <w:trHeight w:val="510" w:hRule="atLeast"/>
        </w:trPr>
        <w:tc>
          <w:tcPr>
            <w:tcW w:w="709" w:type="dxa"/>
            <w:tcBorders>
              <w:top w:val="nil"/>
              <w:left w:val="single" w:color="auto" w:sz="4" w:space="0"/>
              <w:bottom w:val="single" w:color="auto" w:sz="4" w:space="0"/>
              <w:right w:val="single" w:color="auto" w:sz="4" w:space="0"/>
            </w:tcBorders>
            <w:vAlign w:val="center"/>
          </w:tcPr>
          <w:p w14:paraId="42F8C6F3">
            <w:pPr>
              <w:widowControl/>
              <w:spacing w:line="360" w:lineRule="auto"/>
              <w:jc w:val="center"/>
              <w:rPr>
                <w:rFonts w:ascii="Times New Roman" w:hAnsi="Times New Roman"/>
                <w:bCs/>
                <w:kern w:val="0"/>
                <w:sz w:val="24"/>
              </w:rPr>
            </w:pPr>
            <w:r>
              <w:rPr>
                <w:rFonts w:ascii="Times New Roman" w:hAnsi="Times New Roman"/>
                <w:bCs/>
                <w:kern w:val="0"/>
                <w:sz w:val="24"/>
              </w:rPr>
              <w:t>2</w:t>
            </w:r>
          </w:p>
        </w:tc>
        <w:tc>
          <w:tcPr>
            <w:tcW w:w="1559" w:type="dxa"/>
            <w:tcBorders>
              <w:top w:val="nil"/>
              <w:left w:val="nil"/>
              <w:bottom w:val="single" w:color="auto" w:sz="4" w:space="0"/>
              <w:right w:val="single" w:color="auto" w:sz="4" w:space="0"/>
            </w:tcBorders>
            <w:vAlign w:val="center"/>
          </w:tcPr>
          <w:p w14:paraId="5CF5400D">
            <w:pPr>
              <w:widowControl/>
              <w:spacing w:line="360" w:lineRule="auto"/>
              <w:jc w:val="center"/>
              <w:rPr>
                <w:rFonts w:ascii="Times New Roman" w:hAnsi="Times New Roman"/>
                <w:bCs/>
                <w:kern w:val="0"/>
                <w:sz w:val="24"/>
              </w:rPr>
            </w:pPr>
          </w:p>
        </w:tc>
        <w:tc>
          <w:tcPr>
            <w:tcW w:w="1379" w:type="dxa"/>
            <w:tcBorders>
              <w:top w:val="single" w:color="auto" w:sz="4" w:space="0"/>
              <w:left w:val="nil"/>
              <w:bottom w:val="single" w:color="auto" w:sz="4" w:space="0"/>
              <w:right w:val="single" w:color="auto" w:sz="4" w:space="0"/>
            </w:tcBorders>
          </w:tcPr>
          <w:p w14:paraId="47A72284">
            <w:pPr>
              <w:spacing w:line="360" w:lineRule="auto"/>
              <w:jc w:val="center"/>
              <w:rPr>
                <w:rFonts w:ascii="Times New Roman" w:hAnsi="Times New Roman"/>
                <w:bCs/>
                <w:kern w:val="0"/>
                <w:sz w:val="24"/>
              </w:rPr>
            </w:pPr>
          </w:p>
        </w:tc>
        <w:tc>
          <w:tcPr>
            <w:tcW w:w="1322" w:type="dxa"/>
            <w:tcBorders>
              <w:top w:val="single" w:color="auto" w:sz="4" w:space="0"/>
              <w:left w:val="nil"/>
              <w:bottom w:val="single" w:color="auto" w:sz="4" w:space="0"/>
              <w:right w:val="single" w:color="auto" w:sz="4" w:space="0"/>
            </w:tcBorders>
            <w:vAlign w:val="center"/>
          </w:tcPr>
          <w:p w14:paraId="71E3FC17">
            <w:pPr>
              <w:spacing w:line="360" w:lineRule="auto"/>
              <w:jc w:val="center"/>
              <w:rPr>
                <w:rFonts w:ascii="Times New Roman" w:hAnsi="Times New Roman"/>
                <w:bCs/>
                <w:kern w:val="0"/>
                <w:sz w:val="24"/>
              </w:rPr>
            </w:pPr>
          </w:p>
        </w:tc>
        <w:tc>
          <w:tcPr>
            <w:tcW w:w="825" w:type="dxa"/>
            <w:tcBorders>
              <w:top w:val="single" w:color="auto" w:sz="4" w:space="0"/>
              <w:left w:val="nil"/>
              <w:bottom w:val="single" w:color="auto" w:sz="4" w:space="0"/>
              <w:right w:val="single" w:color="auto" w:sz="4" w:space="0"/>
            </w:tcBorders>
            <w:vAlign w:val="center"/>
          </w:tcPr>
          <w:p w14:paraId="524AEBE6">
            <w:pPr>
              <w:spacing w:line="360" w:lineRule="auto"/>
              <w:jc w:val="center"/>
              <w:rPr>
                <w:rFonts w:ascii="Times New Roman" w:hAnsi="Times New Roman"/>
                <w:bCs/>
                <w:kern w:val="0"/>
                <w:sz w:val="24"/>
              </w:rPr>
            </w:pPr>
          </w:p>
        </w:tc>
        <w:tc>
          <w:tcPr>
            <w:tcW w:w="875" w:type="dxa"/>
            <w:tcBorders>
              <w:top w:val="single" w:color="auto" w:sz="4" w:space="0"/>
              <w:left w:val="nil"/>
              <w:bottom w:val="single" w:color="auto" w:sz="4" w:space="0"/>
              <w:right w:val="single" w:color="auto" w:sz="4" w:space="0"/>
            </w:tcBorders>
            <w:vAlign w:val="center"/>
          </w:tcPr>
          <w:p w14:paraId="1F48C5FA">
            <w:pPr>
              <w:spacing w:line="360" w:lineRule="auto"/>
              <w:jc w:val="center"/>
              <w:rPr>
                <w:rFonts w:ascii="Times New Roman" w:hAnsi="Times New Roman"/>
                <w:bCs/>
                <w:kern w:val="0"/>
                <w:sz w:val="24"/>
              </w:rPr>
            </w:pPr>
          </w:p>
        </w:tc>
        <w:tc>
          <w:tcPr>
            <w:tcW w:w="1181" w:type="dxa"/>
            <w:tcBorders>
              <w:top w:val="nil"/>
              <w:left w:val="nil"/>
              <w:bottom w:val="single" w:color="auto" w:sz="4" w:space="0"/>
              <w:right w:val="single" w:color="auto" w:sz="4" w:space="0"/>
            </w:tcBorders>
            <w:vAlign w:val="center"/>
          </w:tcPr>
          <w:p w14:paraId="45DFBF1E">
            <w:pPr>
              <w:widowControl/>
              <w:spacing w:line="360" w:lineRule="auto"/>
              <w:jc w:val="center"/>
              <w:rPr>
                <w:rFonts w:ascii="Times New Roman" w:hAnsi="Times New Roman"/>
                <w:bCs/>
                <w:kern w:val="0"/>
                <w:sz w:val="24"/>
              </w:rPr>
            </w:pPr>
          </w:p>
        </w:tc>
        <w:tc>
          <w:tcPr>
            <w:tcW w:w="1519" w:type="dxa"/>
            <w:tcBorders>
              <w:top w:val="nil"/>
              <w:left w:val="nil"/>
              <w:bottom w:val="single" w:color="auto" w:sz="4" w:space="0"/>
              <w:right w:val="single" w:color="auto" w:sz="4" w:space="0"/>
            </w:tcBorders>
          </w:tcPr>
          <w:p w14:paraId="33B3BDB0">
            <w:pPr>
              <w:widowControl/>
              <w:spacing w:line="360" w:lineRule="auto"/>
              <w:jc w:val="center"/>
              <w:rPr>
                <w:rFonts w:ascii="Times New Roman" w:hAnsi="Times New Roman"/>
                <w:bCs/>
                <w:kern w:val="0"/>
                <w:sz w:val="24"/>
              </w:rPr>
            </w:pPr>
          </w:p>
        </w:tc>
      </w:tr>
      <w:tr w14:paraId="3AFEBC84">
        <w:tblPrEx>
          <w:tblCellMar>
            <w:top w:w="0" w:type="dxa"/>
            <w:left w:w="108" w:type="dxa"/>
            <w:bottom w:w="0" w:type="dxa"/>
            <w:right w:w="108" w:type="dxa"/>
          </w:tblCellMar>
        </w:tblPrEx>
        <w:trPr>
          <w:trHeight w:val="510" w:hRule="atLeast"/>
        </w:trPr>
        <w:tc>
          <w:tcPr>
            <w:tcW w:w="709" w:type="dxa"/>
            <w:tcBorders>
              <w:top w:val="nil"/>
              <w:left w:val="single" w:color="auto" w:sz="4" w:space="0"/>
              <w:bottom w:val="single" w:color="auto" w:sz="4" w:space="0"/>
              <w:right w:val="single" w:color="auto" w:sz="4" w:space="0"/>
            </w:tcBorders>
            <w:vAlign w:val="center"/>
          </w:tcPr>
          <w:p w14:paraId="15B73E6E">
            <w:pPr>
              <w:widowControl/>
              <w:spacing w:line="360" w:lineRule="auto"/>
              <w:jc w:val="center"/>
              <w:rPr>
                <w:rFonts w:ascii="Times New Roman" w:hAnsi="Times New Roman"/>
                <w:bCs/>
                <w:kern w:val="0"/>
                <w:sz w:val="24"/>
              </w:rPr>
            </w:pPr>
            <w:r>
              <w:rPr>
                <w:rFonts w:ascii="Times New Roman" w:hAnsi="Times New Roman"/>
                <w:bCs/>
                <w:kern w:val="0"/>
                <w:sz w:val="24"/>
              </w:rPr>
              <w:t>3</w:t>
            </w:r>
          </w:p>
        </w:tc>
        <w:tc>
          <w:tcPr>
            <w:tcW w:w="1559" w:type="dxa"/>
            <w:tcBorders>
              <w:top w:val="nil"/>
              <w:left w:val="nil"/>
              <w:bottom w:val="single" w:color="auto" w:sz="4" w:space="0"/>
              <w:right w:val="single" w:color="auto" w:sz="4" w:space="0"/>
            </w:tcBorders>
            <w:vAlign w:val="center"/>
          </w:tcPr>
          <w:p w14:paraId="31E2B391">
            <w:pPr>
              <w:widowControl/>
              <w:spacing w:line="360" w:lineRule="auto"/>
              <w:jc w:val="center"/>
              <w:rPr>
                <w:rFonts w:ascii="Times New Roman" w:hAnsi="Times New Roman"/>
                <w:bCs/>
                <w:kern w:val="0"/>
                <w:sz w:val="24"/>
              </w:rPr>
            </w:pPr>
          </w:p>
        </w:tc>
        <w:tc>
          <w:tcPr>
            <w:tcW w:w="1379" w:type="dxa"/>
            <w:tcBorders>
              <w:top w:val="single" w:color="auto" w:sz="4" w:space="0"/>
              <w:left w:val="nil"/>
              <w:bottom w:val="single" w:color="auto" w:sz="4" w:space="0"/>
              <w:right w:val="single" w:color="auto" w:sz="4" w:space="0"/>
            </w:tcBorders>
          </w:tcPr>
          <w:p w14:paraId="610F7E97">
            <w:pPr>
              <w:spacing w:line="360" w:lineRule="auto"/>
              <w:ind w:firstLine="240" w:firstLineChars="100"/>
              <w:jc w:val="center"/>
              <w:rPr>
                <w:rFonts w:ascii="Times New Roman" w:hAnsi="Times New Roman"/>
                <w:bCs/>
                <w:kern w:val="0"/>
                <w:sz w:val="24"/>
              </w:rPr>
            </w:pPr>
          </w:p>
        </w:tc>
        <w:tc>
          <w:tcPr>
            <w:tcW w:w="1322" w:type="dxa"/>
            <w:tcBorders>
              <w:top w:val="single" w:color="auto" w:sz="4" w:space="0"/>
              <w:left w:val="nil"/>
              <w:bottom w:val="single" w:color="auto" w:sz="4" w:space="0"/>
              <w:right w:val="single" w:color="auto" w:sz="4" w:space="0"/>
            </w:tcBorders>
            <w:vAlign w:val="center"/>
          </w:tcPr>
          <w:p w14:paraId="2A785A8C">
            <w:pPr>
              <w:spacing w:line="360" w:lineRule="auto"/>
              <w:jc w:val="center"/>
              <w:rPr>
                <w:rFonts w:ascii="Times New Roman" w:hAnsi="Times New Roman"/>
                <w:bCs/>
                <w:kern w:val="0"/>
                <w:sz w:val="24"/>
              </w:rPr>
            </w:pPr>
          </w:p>
        </w:tc>
        <w:tc>
          <w:tcPr>
            <w:tcW w:w="825" w:type="dxa"/>
            <w:tcBorders>
              <w:top w:val="single" w:color="auto" w:sz="4" w:space="0"/>
              <w:left w:val="nil"/>
              <w:bottom w:val="single" w:color="auto" w:sz="4" w:space="0"/>
              <w:right w:val="single" w:color="auto" w:sz="4" w:space="0"/>
            </w:tcBorders>
            <w:vAlign w:val="center"/>
          </w:tcPr>
          <w:p w14:paraId="663671B7">
            <w:pPr>
              <w:spacing w:line="360" w:lineRule="auto"/>
              <w:jc w:val="center"/>
              <w:rPr>
                <w:rFonts w:ascii="Times New Roman" w:hAnsi="Times New Roman"/>
                <w:bCs/>
                <w:kern w:val="0"/>
                <w:sz w:val="24"/>
              </w:rPr>
            </w:pPr>
          </w:p>
        </w:tc>
        <w:tc>
          <w:tcPr>
            <w:tcW w:w="875" w:type="dxa"/>
            <w:tcBorders>
              <w:top w:val="single" w:color="auto" w:sz="4" w:space="0"/>
              <w:left w:val="nil"/>
              <w:bottom w:val="single" w:color="auto" w:sz="4" w:space="0"/>
              <w:right w:val="single" w:color="auto" w:sz="4" w:space="0"/>
            </w:tcBorders>
            <w:vAlign w:val="center"/>
          </w:tcPr>
          <w:p w14:paraId="51B576E9">
            <w:pPr>
              <w:spacing w:line="360" w:lineRule="auto"/>
              <w:jc w:val="center"/>
              <w:rPr>
                <w:rFonts w:ascii="Times New Roman" w:hAnsi="Times New Roman"/>
                <w:bCs/>
                <w:kern w:val="0"/>
                <w:sz w:val="24"/>
              </w:rPr>
            </w:pPr>
          </w:p>
        </w:tc>
        <w:tc>
          <w:tcPr>
            <w:tcW w:w="1181" w:type="dxa"/>
            <w:tcBorders>
              <w:top w:val="nil"/>
              <w:left w:val="nil"/>
              <w:bottom w:val="single" w:color="auto" w:sz="4" w:space="0"/>
              <w:right w:val="single" w:color="auto" w:sz="4" w:space="0"/>
            </w:tcBorders>
            <w:vAlign w:val="center"/>
          </w:tcPr>
          <w:p w14:paraId="399FA508">
            <w:pPr>
              <w:widowControl/>
              <w:spacing w:line="360" w:lineRule="auto"/>
              <w:jc w:val="center"/>
              <w:rPr>
                <w:rFonts w:ascii="Times New Roman" w:hAnsi="Times New Roman"/>
                <w:bCs/>
                <w:kern w:val="0"/>
                <w:sz w:val="24"/>
              </w:rPr>
            </w:pPr>
          </w:p>
        </w:tc>
        <w:tc>
          <w:tcPr>
            <w:tcW w:w="1519" w:type="dxa"/>
            <w:tcBorders>
              <w:top w:val="nil"/>
              <w:left w:val="nil"/>
              <w:bottom w:val="single" w:color="auto" w:sz="4" w:space="0"/>
              <w:right w:val="single" w:color="auto" w:sz="4" w:space="0"/>
            </w:tcBorders>
          </w:tcPr>
          <w:p w14:paraId="3C8AFC52">
            <w:pPr>
              <w:widowControl/>
              <w:spacing w:line="360" w:lineRule="auto"/>
              <w:jc w:val="center"/>
              <w:rPr>
                <w:rFonts w:ascii="Times New Roman" w:hAnsi="Times New Roman"/>
                <w:bCs/>
                <w:kern w:val="0"/>
                <w:sz w:val="24"/>
              </w:rPr>
            </w:pPr>
          </w:p>
        </w:tc>
      </w:tr>
      <w:tr w14:paraId="70BAE76D">
        <w:tblPrEx>
          <w:tblCellMar>
            <w:top w:w="0" w:type="dxa"/>
            <w:left w:w="108" w:type="dxa"/>
            <w:bottom w:w="0" w:type="dxa"/>
            <w:right w:w="108" w:type="dxa"/>
          </w:tblCellMar>
        </w:tblPrEx>
        <w:trPr>
          <w:trHeight w:val="510" w:hRule="atLeast"/>
        </w:trPr>
        <w:tc>
          <w:tcPr>
            <w:tcW w:w="709" w:type="dxa"/>
            <w:tcBorders>
              <w:top w:val="nil"/>
              <w:left w:val="single" w:color="auto" w:sz="4" w:space="0"/>
              <w:bottom w:val="single" w:color="auto" w:sz="4" w:space="0"/>
              <w:right w:val="single" w:color="auto" w:sz="4" w:space="0"/>
            </w:tcBorders>
            <w:vAlign w:val="center"/>
          </w:tcPr>
          <w:p w14:paraId="5992EEEA">
            <w:pPr>
              <w:widowControl/>
              <w:spacing w:line="360" w:lineRule="auto"/>
              <w:jc w:val="center"/>
              <w:rPr>
                <w:rFonts w:ascii="Times New Roman" w:hAnsi="Times New Roman"/>
                <w:bCs/>
                <w:kern w:val="0"/>
                <w:sz w:val="24"/>
              </w:rPr>
            </w:pPr>
            <w:r>
              <w:rPr>
                <w:rFonts w:ascii="Times New Roman" w:hAnsi="Times New Roman"/>
                <w:bCs/>
                <w:kern w:val="0"/>
                <w:sz w:val="24"/>
              </w:rPr>
              <w:t>4</w:t>
            </w:r>
          </w:p>
        </w:tc>
        <w:tc>
          <w:tcPr>
            <w:tcW w:w="1559" w:type="dxa"/>
            <w:tcBorders>
              <w:top w:val="nil"/>
              <w:left w:val="nil"/>
              <w:bottom w:val="single" w:color="auto" w:sz="4" w:space="0"/>
              <w:right w:val="single" w:color="auto" w:sz="4" w:space="0"/>
            </w:tcBorders>
            <w:vAlign w:val="center"/>
          </w:tcPr>
          <w:p w14:paraId="74E4747A">
            <w:pPr>
              <w:widowControl/>
              <w:spacing w:line="360" w:lineRule="auto"/>
              <w:jc w:val="center"/>
              <w:rPr>
                <w:rFonts w:ascii="Times New Roman" w:hAnsi="Times New Roman"/>
                <w:bCs/>
                <w:kern w:val="0"/>
                <w:sz w:val="24"/>
              </w:rPr>
            </w:pPr>
          </w:p>
        </w:tc>
        <w:tc>
          <w:tcPr>
            <w:tcW w:w="1379" w:type="dxa"/>
            <w:tcBorders>
              <w:top w:val="single" w:color="auto" w:sz="4" w:space="0"/>
              <w:left w:val="nil"/>
              <w:bottom w:val="single" w:color="auto" w:sz="4" w:space="0"/>
              <w:right w:val="single" w:color="auto" w:sz="4" w:space="0"/>
            </w:tcBorders>
          </w:tcPr>
          <w:p w14:paraId="7B55549E">
            <w:pPr>
              <w:spacing w:line="360" w:lineRule="auto"/>
              <w:ind w:firstLine="120" w:firstLineChars="50"/>
              <w:jc w:val="center"/>
              <w:rPr>
                <w:rFonts w:ascii="Times New Roman" w:hAnsi="Times New Roman"/>
                <w:bCs/>
                <w:kern w:val="0"/>
                <w:sz w:val="24"/>
              </w:rPr>
            </w:pPr>
          </w:p>
        </w:tc>
        <w:tc>
          <w:tcPr>
            <w:tcW w:w="1322" w:type="dxa"/>
            <w:tcBorders>
              <w:top w:val="single" w:color="auto" w:sz="4" w:space="0"/>
              <w:left w:val="nil"/>
              <w:bottom w:val="single" w:color="auto" w:sz="4" w:space="0"/>
              <w:right w:val="single" w:color="auto" w:sz="4" w:space="0"/>
            </w:tcBorders>
            <w:vAlign w:val="center"/>
          </w:tcPr>
          <w:p w14:paraId="139C2B9C">
            <w:pPr>
              <w:widowControl/>
              <w:spacing w:line="360" w:lineRule="auto"/>
              <w:jc w:val="center"/>
              <w:rPr>
                <w:rFonts w:ascii="Times New Roman" w:hAnsi="Times New Roman"/>
                <w:bCs/>
                <w:kern w:val="0"/>
                <w:sz w:val="24"/>
              </w:rPr>
            </w:pPr>
          </w:p>
        </w:tc>
        <w:tc>
          <w:tcPr>
            <w:tcW w:w="825" w:type="dxa"/>
            <w:tcBorders>
              <w:top w:val="single" w:color="auto" w:sz="4" w:space="0"/>
              <w:left w:val="nil"/>
              <w:bottom w:val="single" w:color="auto" w:sz="4" w:space="0"/>
              <w:right w:val="single" w:color="auto" w:sz="4" w:space="0"/>
            </w:tcBorders>
            <w:vAlign w:val="center"/>
          </w:tcPr>
          <w:p w14:paraId="6941BD09">
            <w:pPr>
              <w:widowControl/>
              <w:spacing w:line="360" w:lineRule="auto"/>
              <w:jc w:val="center"/>
              <w:rPr>
                <w:rFonts w:ascii="Times New Roman" w:hAnsi="Times New Roman"/>
                <w:bCs/>
                <w:kern w:val="0"/>
                <w:sz w:val="24"/>
              </w:rPr>
            </w:pPr>
          </w:p>
        </w:tc>
        <w:tc>
          <w:tcPr>
            <w:tcW w:w="875" w:type="dxa"/>
            <w:tcBorders>
              <w:top w:val="single" w:color="auto" w:sz="4" w:space="0"/>
              <w:left w:val="nil"/>
              <w:bottom w:val="single" w:color="auto" w:sz="4" w:space="0"/>
              <w:right w:val="single" w:color="auto" w:sz="4" w:space="0"/>
            </w:tcBorders>
            <w:vAlign w:val="center"/>
          </w:tcPr>
          <w:p w14:paraId="19FDF968">
            <w:pPr>
              <w:widowControl/>
              <w:spacing w:line="360" w:lineRule="auto"/>
              <w:jc w:val="center"/>
              <w:rPr>
                <w:rFonts w:ascii="Times New Roman" w:hAnsi="Times New Roman"/>
                <w:bCs/>
                <w:kern w:val="0"/>
                <w:sz w:val="24"/>
              </w:rPr>
            </w:pPr>
          </w:p>
        </w:tc>
        <w:tc>
          <w:tcPr>
            <w:tcW w:w="1181" w:type="dxa"/>
            <w:tcBorders>
              <w:top w:val="nil"/>
              <w:left w:val="nil"/>
              <w:bottom w:val="single" w:color="auto" w:sz="4" w:space="0"/>
              <w:right w:val="single" w:color="auto" w:sz="4" w:space="0"/>
            </w:tcBorders>
            <w:vAlign w:val="center"/>
          </w:tcPr>
          <w:p w14:paraId="3F55DD47">
            <w:pPr>
              <w:widowControl/>
              <w:spacing w:line="360" w:lineRule="auto"/>
              <w:jc w:val="center"/>
              <w:rPr>
                <w:rFonts w:ascii="Times New Roman" w:hAnsi="Times New Roman"/>
                <w:bCs/>
                <w:kern w:val="0"/>
                <w:sz w:val="24"/>
              </w:rPr>
            </w:pPr>
          </w:p>
        </w:tc>
        <w:tc>
          <w:tcPr>
            <w:tcW w:w="1519" w:type="dxa"/>
            <w:tcBorders>
              <w:top w:val="nil"/>
              <w:left w:val="nil"/>
              <w:bottom w:val="single" w:color="auto" w:sz="4" w:space="0"/>
              <w:right w:val="single" w:color="auto" w:sz="4" w:space="0"/>
            </w:tcBorders>
          </w:tcPr>
          <w:p w14:paraId="5C16C61B">
            <w:pPr>
              <w:widowControl/>
              <w:spacing w:line="360" w:lineRule="auto"/>
              <w:jc w:val="center"/>
              <w:rPr>
                <w:rFonts w:ascii="Times New Roman" w:hAnsi="Times New Roman"/>
                <w:bCs/>
                <w:kern w:val="0"/>
                <w:sz w:val="24"/>
              </w:rPr>
            </w:pPr>
          </w:p>
        </w:tc>
      </w:tr>
      <w:tr w14:paraId="026E7417">
        <w:tblPrEx>
          <w:tblCellMar>
            <w:top w:w="0" w:type="dxa"/>
            <w:left w:w="108" w:type="dxa"/>
            <w:bottom w:w="0" w:type="dxa"/>
            <w:right w:w="108" w:type="dxa"/>
          </w:tblCellMar>
        </w:tblPrEx>
        <w:trPr>
          <w:trHeight w:val="510" w:hRule="atLeast"/>
        </w:trPr>
        <w:tc>
          <w:tcPr>
            <w:tcW w:w="709" w:type="dxa"/>
            <w:tcBorders>
              <w:top w:val="nil"/>
              <w:left w:val="single" w:color="auto" w:sz="4" w:space="0"/>
              <w:bottom w:val="single" w:color="auto" w:sz="4" w:space="0"/>
              <w:right w:val="single" w:color="auto" w:sz="4" w:space="0"/>
            </w:tcBorders>
            <w:vAlign w:val="center"/>
          </w:tcPr>
          <w:p w14:paraId="4D4D36D6">
            <w:pPr>
              <w:widowControl/>
              <w:spacing w:line="360" w:lineRule="auto"/>
              <w:jc w:val="center"/>
              <w:rPr>
                <w:rFonts w:ascii="Times New Roman" w:hAnsi="Times New Roman"/>
                <w:bCs/>
                <w:kern w:val="0"/>
                <w:sz w:val="24"/>
              </w:rPr>
            </w:pPr>
            <w:r>
              <w:rPr>
                <w:rFonts w:ascii="Times New Roman" w:hAnsi="Times New Roman"/>
                <w:bCs/>
                <w:kern w:val="0"/>
                <w:sz w:val="24"/>
              </w:rPr>
              <w:t>……</w:t>
            </w:r>
          </w:p>
        </w:tc>
        <w:tc>
          <w:tcPr>
            <w:tcW w:w="1559" w:type="dxa"/>
            <w:tcBorders>
              <w:top w:val="nil"/>
              <w:left w:val="nil"/>
              <w:bottom w:val="single" w:color="auto" w:sz="4" w:space="0"/>
              <w:right w:val="single" w:color="auto" w:sz="4" w:space="0"/>
            </w:tcBorders>
            <w:vAlign w:val="center"/>
          </w:tcPr>
          <w:p w14:paraId="263D7B7F">
            <w:pPr>
              <w:widowControl/>
              <w:spacing w:line="360" w:lineRule="auto"/>
              <w:jc w:val="center"/>
              <w:rPr>
                <w:rFonts w:ascii="Times New Roman" w:hAnsi="Times New Roman"/>
                <w:bCs/>
                <w:kern w:val="0"/>
                <w:sz w:val="24"/>
              </w:rPr>
            </w:pPr>
            <w:r>
              <w:rPr>
                <w:rFonts w:ascii="Times New Roman" w:hAnsi="Times New Roman"/>
                <w:bCs/>
                <w:kern w:val="0"/>
                <w:sz w:val="24"/>
              </w:rPr>
              <w:t>……</w:t>
            </w:r>
          </w:p>
        </w:tc>
        <w:tc>
          <w:tcPr>
            <w:tcW w:w="1379" w:type="dxa"/>
            <w:tcBorders>
              <w:top w:val="single" w:color="auto" w:sz="4" w:space="0"/>
              <w:left w:val="nil"/>
              <w:bottom w:val="single" w:color="auto" w:sz="4" w:space="0"/>
              <w:right w:val="single" w:color="auto" w:sz="4" w:space="0"/>
            </w:tcBorders>
          </w:tcPr>
          <w:p w14:paraId="1FB7831E">
            <w:pPr>
              <w:spacing w:line="360" w:lineRule="auto"/>
              <w:jc w:val="center"/>
              <w:rPr>
                <w:rFonts w:ascii="Times New Roman" w:hAnsi="Times New Roman"/>
                <w:bCs/>
                <w:kern w:val="0"/>
                <w:sz w:val="24"/>
              </w:rPr>
            </w:pPr>
          </w:p>
        </w:tc>
        <w:tc>
          <w:tcPr>
            <w:tcW w:w="1322" w:type="dxa"/>
            <w:tcBorders>
              <w:top w:val="single" w:color="auto" w:sz="4" w:space="0"/>
              <w:left w:val="nil"/>
              <w:bottom w:val="single" w:color="auto" w:sz="4" w:space="0"/>
              <w:right w:val="single" w:color="auto" w:sz="4" w:space="0"/>
            </w:tcBorders>
            <w:vAlign w:val="center"/>
          </w:tcPr>
          <w:p w14:paraId="5E2DD06A">
            <w:pPr>
              <w:widowControl/>
              <w:spacing w:line="360" w:lineRule="auto"/>
              <w:jc w:val="left"/>
              <w:rPr>
                <w:rFonts w:ascii="Times New Roman" w:hAnsi="Times New Roman"/>
                <w:bCs/>
                <w:kern w:val="0"/>
                <w:sz w:val="24"/>
              </w:rPr>
            </w:pPr>
          </w:p>
        </w:tc>
        <w:tc>
          <w:tcPr>
            <w:tcW w:w="825" w:type="dxa"/>
            <w:tcBorders>
              <w:top w:val="single" w:color="auto" w:sz="4" w:space="0"/>
              <w:left w:val="nil"/>
              <w:bottom w:val="single" w:color="auto" w:sz="4" w:space="0"/>
              <w:right w:val="single" w:color="auto" w:sz="4" w:space="0"/>
            </w:tcBorders>
            <w:vAlign w:val="center"/>
          </w:tcPr>
          <w:p w14:paraId="1EA16D64">
            <w:pPr>
              <w:widowControl/>
              <w:spacing w:line="360" w:lineRule="auto"/>
              <w:jc w:val="center"/>
              <w:rPr>
                <w:rFonts w:ascii="Times New Roman" w:hAnsi="Times New Roman"/>
                <w:bCs/>
                <w:kern w:val="0"/>
                <w:sz w:val="24"/>
              </w:rPr>
            </w:pPr>
          </w:p>
        </w:tc>
        <w:tc>
          <w:tcPr>
            <w:tcW w:w="875" w:type="dxa"/>
            <w:tcBorders>
              <w:top w:val="single" w:color="auto" w:sz="4" w:space="0"/>
              <w:left w:val="nil"/>
              <w:bottom w:val="single" w:color="auto" w:sz="4" w:space="0"/>
              <w:right w:val="single" w:color="auto" w:sz="4" w:space="0"/>
            </w:tcBorders>
            <w:vAlign w:val="center"/>
          </w:tcPr>
          <w:p w14:paraId="31EE6AF9">
            <w:pPr>
              <w:widowControl/>
              <w:spacing w:line="360" w:lineRule="auto"/>
              <w:jc w:val="left"/>
              <w:rPr>
                <w:rFonts w:ascii="Times New Roman" w:hAnsi="Times New Roman"/>
                <w:bCs/>
                <w:kern w:val="0"/>
                <w:sz w:val="24"/>
              </w:rPr>
            </w:pPr>
          </w:p>
        </w:tc>
        <w:tc>
          <w:tcPr>
            <w:tcW w:w="1181" w:type="dxa"/>
            <w:tcBorders>
              <w:top w:val="nil"/>
              <w:left w:val="nil"/>
              <w:bottom w:val="single" w:color="auto" w:sz="4" w:space="0"/>
              <w:right w:val="single" w:color="auto" w:sz="4" w:space="0"/>
            </w:tcBorders>
            <w:vAlign w:val="center"/>
          </w:tcPr>
          <w:p w14:paraId="228A9D8A">
            <w:pPr>
              <w:widowControl/>
              <w:spacing w:line="360" w:lineRule="auto"/>
              <w:jc w:val="left"/>
              <w:rPr>
                <w:rFonts w:ascii="Times New Roman" w:hAnsi="Times New Roman"/>
                <w:bCs/>
                <w:kern w:val="0"/>
                <w:sz w:val="24"/>
              </w:rPr>
            </w:pPr>
          </w:p>
        </w:tc>
        <w:tc>
          <w:tcPr>
            <w:tcW w:w="1519" w:type="dxa"/>
            <w:tcBorders>
              <w:top w:val="nil"/>
              <w:left w:val="nil"/>
              <w:bottom w:val="single" w:color="auto" w:sz="4" w:space="0"/>
              <w:right w:val="single" w:color="auto" w:sz="4" w:space="0"/>
            </w:tcBorders>
          </w:tcPr>
          <w:p w14:paraId="3ACA6AC2">
            <w:pPr>
              <w:widowControl/>
              <w:spacing w:line="360" w:lineRule="auto"/>
              <w:jc w:val="left"/>
              <w:rPr>
                <w:rFonts w:ascii="Times New Roman" w:hAnsi="Times New Roman"/>
                <w:bCs/>
                <w:kern w:val="0"/>
                <w:sz w:val="24"/>
              </w:rPr>
            </w:pPr>
          </w:p>
        </w:tc>
      </w:tr>
      <w:tr w14:paraId="5497D10E">
        <w:tblPrEx>
          <w:tblCellMar>
            <w:top w:w="0" w:type="dxa"/>
            <w:left w:w="108" w:type="dxa"/>
            <w:bottom w:w="0" w:type="dxa"/>
            <w:right w:w="108" w:type="dxa"/>
          </w:tblCellMar>
        </w:tblPrEx>
        <w:trPr>
          <w:trHeight w:val="510" w:hRule="atLeast"/>
        </w:trPr>
        <w:tc>
          <w:tcPr>
            <w:tcW w:w="9369" w:type="dxa"/>
            <w:gridSpan w:val="8"/>
            <w:tcBorders>
              <w:top w:val="single" w:color="auto" w:sz="4" w:space="0"/>
              <w:left w:val="single" w:color="auto" w:sz="4" w:space="0"/>
              <w:bottom w:val="single" w:color="auto" w:sz="4" w:space="0"/>
              <w:right w:val="single" w:color="auto" w:sz="4" w:space="0"/>
            </w:tcBorders>
          </w:tcPr>
          <w:p w14:paraId="62684123">
            <w:pPr>
              <w:widowControl/>
              <w:spacing w:line="360" w:lineRule="auto"/>
              <w:jc w:val="left"/>
              <w:rPr>
                <w:rFonts w:ascii="Times New Roman" w:hAnsi="Times New Roman"/>
                <w:bCs/>
                <w:kern w:val="0"/>
                <w:sz w:val="24"/>
              </w:rPr>
            </w:pPr>
            <w:r>
              <w:rPr>
                <w:rFonts w:hint="eastAsia" w:ascii="Times New Roman" w:hAnsi="Times New Roman"/>
                <w:bCs/>
                <w:kern w:val="0"/>
                <w:sz w:val="24"/>
              </w:rPr>
              <w:t>总价合计：</w:t>
            </w:r>
          </w:p>
        </w:tc>
      </w:tr>
    </w:tbl>
    <w:p w14:paraId="5F3BE1CC">
      <w:pPr>
        <w:pStyle w:val="11"/>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cs="宋体"/>
          <w:b/>
          <w:bCs/>
          <w:sz w:val="24"/>
        </w:rPr>
      </w:pPr>
      <w:r>
        <w:rPr>
          <w:rFonts w:hint="eastAsia"/>
          <w:b/>
          <w:bCs/>
          <w:sz w:val="24"/>
        </w:rPr>
        <w:t>分项报价表说明：以</w:t>
      </w:r>
      <w:r>
        <w:rPr>
          <w:rFonts w:hint="eastAsia" w:ascii="宋体" w:hAnsi="宋体" w:cs="宋体"/>
          <w:b/>
          <w:bCs/>
          <w:sz w:val="24"/>
        </w:rPr>
        <w:t>“元”为单位，保留小数点两位。</w:t>
      </w:r>
      <w:r>
        <w:rPr>
          <w:rFonts w:hint="eastAsia"/>
          <w:b/>
          <w:bCs/>
          <w:sz w:val="24"/>
        </w:rPr>
        <w:t>采购需求中每一产品都填入上表，缺项漏项者为无效文件。</w:t>
      </w:r>
    </w:p>
    <w:p w14:paraId="1752358A">
      <w:pPr>
        <w:spacing w:line="360" w:lineRule="auto"/>
        <w:ind w:firstLine="480" w:firstLineChars="200"/>
        <w:jc w:val="right"/>
        <w:rPr>
          <w:rFonts w:hint="eastAsia" w:ascii="宋体" w:hAnsi="宋体" w:cs="宋体"/>
          <w:bCs/>
          <w:sz w:val="24"/>
        </w:rPr>
      </w:pPr>
    </w:p>
    <w:p w14:paraId="47DCAE39">
      <w:pPr>
        <w:spacing w:line="360" w:lineRule="auto"/>
        <w:ind w:firstLine="480" w:firstLineChars="200"/>
        <w:jc w:val="right"/>
        <w:rPr>
          <w:rFonts w:hint="eastAsia" w:ascii="宋体" w:hAnsi="宋体" w:cs="宋体"/>
          <w:bCs/>
          <w:sz w:val="24"/>
        </w:rPr>
      </w:pPr>
    </w:p>
    <w:p w14:paraId="7814984C">
      <w:pPr>
        <w:keepNext w:val="0"/>
        <w:keepLines w:val="0"/>
        <w:pageBreakBefore w:val="0"/>
        <w:widowControl w:val="0"/>
        <w:kinsoku/>
        <w:wordWrap/>
        <w:overflowPunct/>
        <w:topLinePunct w:val="0"/>
        <w:autoSpaceDE/>
        <w:autoSpaceDN/>
        <w:bidi w:val="0"/>
        <w:adjustRightInd/>
        <w:snapToGrid/>
        <w:spacing w:line="360" w:lineRule="auto"/>
        <w:ind w:right="1260" w:rightChars="600" w:firstLine="480" w:firstLineChars="200"/>
        <w:jc w:val="right"/>
        <w:textAlignment w:val="auto"/>
        <w:rPr>
          <w:rFonts w:hint="eastAsia" w:ascii="宋体" w:hAnsi="宋体" w:cs="宋体"/>
          <w:bCs/>
          <w:sz w:val="24"/>
        </w:rPr>
      </w:pPr>
      <w:r>
        <w:rPr>
          <w:rFonts w:hint="eastAsia" w:ascii="宋体" w:hAnsi="宋体" w:cs="宋体"/>
          <w:bCs/>
          <w:sz w:val="24"/>
        </w:rPr>
        <w:t>投标人名称（公章）：</w:t>
      </w:r>
    </w:p>
    <w:p w14:paraId="49238269">
      <w:pPr>
        <w:keepNext w:val="0"/>
        <w:keepLines w:val="0"/>
        <w:pageBreakBefore w:val="0"/>
        <w:widowControl w:val="0"/>
        <w:kinsoku/>
        <w:wordWrap/>
        <w:overflowPunct/>
        <w:topLinePunct w:val="0"/>
        <w:autoSpaceDE/>
        <w:autoSpaceDN/>
        <w:bidi w:val="0"/>
        <w:adjustRightInd/>
        <w:snapToGrid/>
        <w:spacing w:line="360" w:lineRule="auto"/>
        <w:ind w:right="1260" w:rightChars="600" w:firstLine="480" w:firstLineChars="200"/>
        <w:jc w:val="right"/>
        <w:textAlignment w:val="auto"/>
        <w:rPr>
          <w:rFonts w:hint="eastAsia" w:ascii="宋体" w:hAnsi="宋体" w:cs="宋体"/>
          <w:bCs/>
          <w:sz w:val="24"/>
        </w:rPr>
      </w:pPr>
      <w:r>
        <w:rPr>
          <w:rFonts w:hint="eastAsia" w:ascii="宋体" w:hAnsi="宋体" w:cs="宋体"/>
          <w:bCs/>
          <w:sz w:val="24"/>
        </w:rPr>
        <w:t>法定代表人或授权委托人（签字或盖章）：</w:t>
      </w:r>
    </w:p>
    <w:p w14:paraId="724ED813">
      <w:pPr>
        <w:keepNext w:val="0"/>
        <w:keepLines w:val="0"/>
        <w:pageBreakBefore w:val="0"/>
        <w:widowControl w:val="0"/>
        <w:kinsoku/>
        <w:wordWrap/>
        <w:overflowPunct/>
        <w:topLinePunct w:val="0"/>
        <w:autoSpaceDE/>
        <w:autoSpaceDN/>
        <w:bidi w:val="0"/>
        <w:adjustRightInd/>
        <w:snapToGrid/>
        <w:ind w:right="1260" w:rightChars="600"/>
        <w:jc w:val="right"/>
        <w:textAlignment w:val="auto"/>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年   月    日</w:t>
      </w:r>
    </w:p>
    <w:p w14:paraId="55C43A40">
      <w:pPr>
        <w:pStyle w:val="11"/>
        <w:ind w:firstLine="400"/>
      </w:pPr>
    </w:p>
    <w:p w14:paraId="63FB9213">
      <w:pPr>
        <w:pStyle w:val="11"/>
        <w:ind w:firstLine="400"/>
      </w:pPr>
    </w:p>
    <w:p w14:paraId="451FC12A">
      <w:pPr>
        <w:pStyle w:val="11"/>
        <w:ind w:firstLine="400"/>
      </w:pPr>
    </w:p>
    <w:p w14:paraId="6E422F10">
      <w:pPr>
        <w:pStyle w:val="11"/>
        <w:ind w:firstLine="400"/>
      </w:pPr>
    </w:p>
    <w:p w14:paraId="7C146B99">
      <w:pPr>
        <w:pStyle w:val="11"/>
        <w:ind w:firstLine="400"/>
      </w:pPr>
    </w:p>
    <w:p w14:paraId="3670D746">
      <w:pPr>
        <w:pStyle w:val="11"/>
        <w:ind w:firstLine="400"/>
      </w:pPr>
    </w:p>
    <w:p w14:paraId="21FF7AAA">
      <w:pPr>
        <w:pStyle w:val="11"/>
        <w:ind w:firstLine="400"/>
      </w:pPr>
    </w:p>
    <w:p w14:paraId="63C4292C">
      <w:pPr>
        <w:rPr>
          <w:rStyle w:val="20"/>
          <w:rFonts w:hint="eastAsia" w:ascii="宋体" w:hAnsi="宋体" w:cs="宋体"/>
          <w:b/>
          <w:bCs/>
          <w:color w:val="000000"/>
          <w:kern w:val="0"/>
          <w:sz w:val="28"/>
          <w:szCs w:val="28"/>
        </w:rPr>
      </w:pPr>
      <w:r>
        <w:rPr>
          <w:rStyle w:val="20"/>
          <w:rFonts w:hint="eastAsia" w:ascii="宋体" w:hAnsi="宋体" w:cs="宋体"/>
          <w:b/>
          <w:bCs/>
          <w:color w:val="000000"/>
          <w:kern w:val="0"/>
          <w:sz w:val="28"/>
          <w:szCs w:val="28"/>
        </w:rPr>
        <w:br w:type="page"/>
      </w:r>
    </w:p>
    <w:p w14:paraId="613448AA">
      <w:pPr>
        <w:keepNext w:val="0"/>
        <w:keepLines w:val="0"/>
        <w:pageBreakBefore w:val="0"/>
        <w:widowControl w:val="0"/>
        <w:numPr>
          <w:ilvl w:val="0"/>
          <w:numId w:val="6"/>
        </w:numPr>
        <w:shd w:val="clear" w:color="auto" w:fill="FFFFFF"/>
        <w:kinsoku/>
        <w:wordWrap/>
        <w:overflowPunct/>
        <w:topLinePunct w:val="0"/>
        <w:autoSpaceDE/>
        <w:autoSpaceDN/>
        <w:bidi w:val="0"/>
        <w:adjustRightInd/>
        <w:snapToGrid/>
        <w:spacing w:after="157" w:afterLines="50" w:line="360" w:lineRule="auto"/>
        <w:ind w:left="0" w:leftChars="0" w:firstLine="0" w:firstLineChars="0"/>
        <w:jc w:val="center"/>
        <w:textAlignment w:val="auto"/>
        <w:rPr>
          <w:rStyle w:val="20"/>
          <w:rFonts w:hint="eastAsia" w:ascii="宋体" w:hAnsi="宋体" w:cs="宋体"/>
          <w:b/>
          <w:bCs/>
          <w:color w:val="000000"/>
          <w:kern w:val="0"/>
          <w:sz w:val="28"/>
          <w:szCs w:val="28"/>
        </w:rPr>
      </w:pPr>
      <w:r>
        <w:rPr>
          <w:rStyle w:val="20"/>
          <w:rFonts w:hint="eastAsia" w:ascii="宋体" w:hAnsi="宋体" w:cs="宋体"/>
          <w:b/>
          <w:bCs/>
          <w:color w:val="000000"/>
          <w:kern w:val="0"/>
          <w:sz w:val="28"/>
          <w:szCs w:val="28"/>
        </w:rPr>
        <w:t xml:space="preserve"> 资格证明文件</w:t>
      </w:r>
    </w:p>
    <w:p w14:paraId="79EDAAD0">
      <w:pPr>
        <w:pStyle w:val="11"/>
        <w:widowControl w:val="0"/>
        <w:numPr>
          <w:ilvl w:val="0"/>
          <w:numId w:val="0"/>
        </w:numPr>
        <w:spacing w:after="0" w:line="400" w:lineRule="atLeast"/>
        <w:jc w:val="both"/>
        <w:rPr>
          <w:rFonts w:hint="eastAsia"/>
        </w:rPr>
      </w:pPr>
    </w:p>
    <w:p w14:paraId="3E73CAE0">
      <w:pPr>
        <w:pStyle w:val="11"/>
        <w:widowControl w:val="0"/>
        <w:numPr>
          <w:ilvl w:val="0"/>
          <w:numId w:val="0"/>
        </w:numPr>
        <w:spacing w:after="0" w:line="400" w:lineRule="atLeast"/>
        <w:jc w:val="both"/>
        <w:rPr>
          <w:rFonts w:hint="eastAsia"/>
        </w:rPr>
      </w:pPr>
    </w:p>
    <w:p w14:paraId="129FA9B4">
      <w:pPr>
        <w:pStyle w:val="11"/>
        <w:widowControl w:val="0"/>
        <w:numPr>
          <w:ilvl w:val="0"/>
          <w:numId w:val="0"/>
        </w:numPr>
        <w:spacing w:after="0" w:line="400" w:lineRule="atLeast"/>
        <w:jc w:val="both"/>
        <w:rPr>
          <w:rFonts w:hint="eastAsia"/>
        </w:rPr>
        <w:sectPr>
          <w:pgSz w:w="11906" w:h="16838"/>
          <w:pgMar w:top="1440" w:right="1800" w:bottom="1440" w:left="1800" w:header="851" w:footer="992" w:gutter="0"/>
          <w:cols w:space="425" w:num="1"/>
          <w:docGrid w:type="lines" w:linePitch="312" w:charSpace="0"/>
        </w:sectPr>
      </w:pPr>
    </w:p>
    <w:p w14:paraId="277FB543">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center"/>
        <w:textAlignment w:val="auto"/>
        <w:outlineLvl w:val="1"/>
        <w:rPr>
          <w:rStyle w:val="20"/>
          <w:rFonts w:hint="eastAsia" w:ascii="宋体" w:hAnsi="宋体" w:cs="宋体"/>
          <w:b/>
          <w:bCs/>
          <w:color w:val="000000"/>
          <w:kern w:val="0"/>
          <w:sz w:val="28"/>
          <w:szCs w:val="28"/>
        </w:rPr>
      </w:pPr>
      <w:r>
        <w:rPr>
          <w:rStyle w:val="20"/>
          <w:rFonts w:hint="eastAsia" w:ascii="宋体" w:hAnsi="宋体" w:cs="宋体"/>
          <w:b/>
          <w:bCs/>
          <w:color w:val="000000"/>
          <w:kern w:val="0"/>
          <w:sz w:val="28"/>
          <w:szCs w:val="28"/>
        </w:rPr>
        <w:t>第</w:t>
      </w:r>
      <w:r>
        <w:rPr>
          <w:rStyle w:val="20"/>
          <w:rFonts w:hint="eastAsia" w:ascii="宋体" w:hAnsi="宋体" w:cs="宋体"/>
          <w:b/>
          <w:bCs/>
          <w:color w:val="000000"/>
          <w:kern w:val="0"/>
          <w:sz w:val="28"/>
          <w:szCs w:val="28"/>
          <w:lang w:val="en-US" w:eastAsia="zh-CN"/>
        </w:rPr>
        <w:t>三</w:t>
      </w:r>
      <w:r>
        <w:rPr>
          <w:rStyle w:val="20"/>
          <w:rFonts w:hint="eastAsia" w:ascii="宋体" w:hAnsi="宋体" w:cs="宋体"/>
          <w:b/>
          <w:bCs/>
          <w:color w:val="000000"/>
          <w:kern w:val="0"/>
          <w:sz w:val="28"/>
          <w:szCs w:val="28"/>
        </w:rPr>
        <w:t>部分  技术响应及其他相关情况</w:t>
      </w:r>
    </w:p>
    <w:p w14:paraId="695992F8">
      <w:pPr>
        <w:pStyle w:val="11"/>
        <w:ind w:firstLine="400"/>
      </w:pPr>
    </w:p>
    <w:p w14:paraId="04C7218D">
      <w:pPr>
        <w:pStyle w:val="11"/>
        <w:ind w:firstLine="400"/>
      </w:pPr>
    </w:p>
    <w:p w14:paraId="32D22495">
      <w:pPr>
        <w:pStyle w:val="11"/>
        <w:ind w:firstLine="400"/>
      </w:pPr>
    </w:p>
    <w:p w14:paraId="4746397B">
      <w:pPr>
        <w:pStyle w:val="11"/>
        <w:ind w:firstLine="400"/>
      </w:pPr>
    </w:p>
    <w:p w14:paraId="223357DF">
      <w:pPr>
        <w:pStyle w:val="11"/>
        <w:ind w:firstLine="40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8C9AC">
    <w:pPr>
      <w:pStyle w:val="7"/>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3843C2">
                          <w:pPr>
                            <w:pStyle w:val="7"/>
                            <w:rPr>
                              <w:rFonts w:hint="eastAsia"/>
                            </w:rPr>
                          </w:pPr>
                          <w:r>
                            <w:t xml:space="preserve">第 </w:t>
                          </w:r>
                          <w:r>
                            <w:fldChar w:fldCharType="begin"/>
                          </w:r>
                          <w:r>
                            <w:instrText xml:space="preserve"> PAGE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A3843C2">
                    <w:pPr>
                      <w:pStyle w:val="7"/>
                      <w:rPr>
                        <w:rFonts w:hint="eastAsia"/>
                      </w:rPr>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857E2"/>
    <w:multiLevelType w:val="singleLevel"/>
    <w:tmpl w:val="85F857E2"/>
    <w:lvl w:ilvl="0" w:tentative="0">
      <w:start w:val="2"/>
      <w:numFmt w:val="chineseCounting"/>
      <w:suff w:val="space"/>
      <w:lvlText w:val="第%1部分"/>
      <w:lvlJc w:val="left"/>
      <w:rPr>
        <w:rFonts w:hint="eastAsia"/>
      </w:rPr>
    </w:lvl>
  </w:abstractNum>
  <w:abstractNum w:abstractNumId="1">
    <w:nsid w:val="86095269"/>
    <w:multiLevelType w:val="singleLevel"/>
    <w:tmpl w:val="86095269"/>
    <w:lvl w:ilvl="0" w:tentative="0">
      <w:start w:val="2"/>
      <w:numFmt w:val="decimal"/>
      <w:suff w:val="nothing"/>
      <w:lvlText w:val="%1、"/>
      <w:lvlJc w:val="left"/>
    </w:lvl>
  </w:abstractNum>
  <w:abstractNum w:abstractNumId="2">
    <w:nsid w:val="CCD015C6"/>
    <w:multiLevelType w:val="singleLevel"/>
    <w:tmpl w:val="CCD015C6"/>
    <w:lvl w:ilvl="0" w:tentative="0">
      <w:start w:val="1"/>
      <w:numFmt w:val="chineseCounting"/>
      <w:suff w:val="nothing"/>
      <w:lvlText w:val="%1、"/>
      <w:lvlJc w:val="left"/>
      <w:rPr>
        <w:rFonts w:hint="eastAsia"/>
      </w:rPr>
    </w:lvl>
  </w:abstractNum>
  <w:abstractNum w:abstractNumId="3">
    <w:nsid w:val="5156776A"/>
    <w:multiLevelType w:val="singleLevel"/>
    <w:tmpl w:val="5156776A"/>
    <w:lvl w:ilvl="0" w:tentative="0">
      <w:start w:val="1"/>
      <w:numFmt w:val="decimal"/>
      <w:suff w:val="nothing"/>
      <w:lvlText w:val="%1、"/>
      <w:lvlJc w:val="left"/>
    </w:lvl>
  </w:abstractNum>
  <w:abstractNum w:abstractNumId="4">
    <w:nsid w:val="5540912C"/>
    <w:multiLevelType w:val="singleLevel"/>
    <w:tmpl w:val="5540912C"/>
    <w:lvl w:ilvl="0" w:tentative="0">
      <w:start w:val="3"/>
      <w:numFmt w:val="chineseCounting"/>
      <w:suff w:val="nothing"/>
      <w:lvlText w:val="%1、"/>
      <w:lvlJc w:val="left"/>
      <w:rPr>
        <w:rFonts w:hint="eastAsia"/>
      </w:rPr>
    </w:lvl>
  </w:abstractNum>
  <w:abstractNum w:abstractNumId="5">
    <w:nsid w:val="56FAE7AA"/>
    <w:multiLevelType w:val="singleLevel"/>
    <w:tmpl w:val="56FAE7AA"/>
    <w:lvl w:ilvl="0" w:tentative="0">
      <w:start w:val="1"/>
      <w:numFmt w:val="decimal"/>
      <w:suff w:val="nothing"/>
      <w:lvlText w:val="%1、"/>
      <w:lvlJc w:val="left"/>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1"/>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Y1MGI3MTUzYjI2NWY2NTg2YjNkOWY2ZWFhYTc1YTYifQ=="/>
  </w:docVars>
  <w:rsids>
    <w:rsidRoot w:val="00E30EA1"/>
    <w:rsid w:val="001134A8"/>
    <w:rsid w:val="001C6AFC"/>
    <w:rsid w:val="00333102"/>
    <w:rsid w:val="0037753F"/>
    <w:rsid w:val="00480C39"/>
    <w:rsid w:val="005B3A45"/>
    <w:rsid w:val="005C1DC4"/>
    <w:rsid w:val="00736415"/>
    <w:rsid w:val="00832368"/>
    <w:rsid w:val="00843AF5"/>
    <w:rsid w:val="008E1A31"/>
    <w:rsid w:val="009249D1"/>
    <w:rsid w:val="00A250DB"/>
    <w:rsid w:val="00A35175"/>
    <w:rsid w:val="00A85161"/>
    <w:rsid w:val="00AB091D"/>
    <w:rsid w:val="00AF4A08"/>
    <w:rsid w:val="00B76985"/>
    <w:rsid w:val="00BD08D4"/>
    <w:rsid w:val="00C4535F"/>
    <w:rsid w:val="00C74947"/>
    <w:rsid w:val="00CF68C9"/>
    <w:rsid w:val="00E30EA1"/>
    <w:rsid w:val="00E53755"/>
    <w:rsid w:val="00F228F5"/>
    <w:rsid w:val="00F37D62"/>
    <w:rsid w:val="00F54289"/>
    <w:rsid w:val="050E411D"/>
    <w:rsid w:val="0CBC15F6"/>
    <w:rsid w:val="15CC605B"/>
    <w:rsid w:val="16094459"/>
    <w:rsid w:val="28442544"/>
    <w:rsid w:val="2E50117F"/>
    <w:rsid w:val="322C5A5F"/>
    <w:rsid w:val="439843DD"/>
    <w:rsid w:val="46431172"/>
    <w:rsid w:val="471D5CB7"/>
    <w:rsid w:val="473860EE"/>
    <w:rsid w:val="4A5B0147"/>
    <w:rsid w:val="4D73403C"/>
    <w:rsid w:val="58CD7F90"/>
    <w:rsid w:val="5EA63A38"/>
    <w:rsid w:val="60FD3BA3"/>
    <w:rsid w:val="6CD97FB6"/>
    <w:rsid w:val="6CE32BFD"/>
    <w:rsid w:val="6D614100"/>
    <w:rsid w:val="70A00DEB"/>
    <w:rsid w:val="71504474"/>
    <w:rsid w:val="78762B5D"/>
    <w:rsid w:val="7A180FA5"/>
    <w:rsid w:val="7A461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Calibri" w:hAnsi="Calibri" w:eastAsia="宋体" w:cs="Times New Roman"/>
      <w:kern w:val="2"/>
      <w:sz w:val="21"/>
      <w:szCs w:val="24"/>
      <w:lang w:val="en-US" w:eastAsia="zh-CN" w:bidi="ar-SA"/>
    </w:rPr>
  </w:style>
  <w:style w:type="paragraph" w:styleId="3">
    <w:name w:val="heading 1"/>
    <w:basedOn w:val="1"/>
    <w:next w:val="1"/>
    <w:link w:val="18"/>
    <w:qFormat/>
    <w:uiPriority w:val="0"/>
    <w:pPr>
      <w:keepNext/>
      <w:keepLines/>
      <w:spacing w:before="120" w:after="120" w:line="360" w:lineRule="auto"/>
      <w:jc w:val="center"/>
      <w:outlineLvl w:val="0"/>
    </w:pPr>
    <w:rPr>
      <w:b/>
      <w:bCs/>
      <w:kern w:val="44"/>
      <w:sz w:val="30"/>
      <w:szCs w:val="44"/>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9"/>
    <w:semiHidden/>
    <w:unhideWhenUsed/>
    <w:qFormat/>
    <w:uiPriority w:val="99"/>
    <w:pPr>
      <w:spacing w:after="120"/>
    </w:pPr>
  </w:style>
  <w:style w:type="paragraph" w:styleId="4">
    <w:name w:val="Normal Indent"/>
    <w:basedOn w:val="1"/>
    <w:next w:val="5"/>
    <w:qFormat/>
    <w:uiPriority w:val="0"/>
    <w:pPr>
      <w:ind w:firstLine="420" w:firstLineChars="200"/>
    </w:pPr>
    <w:rPr>
      <w:kern w:val="0"/>
      <w:sz w:val="20"/>
    </w:rPr>
  </w:style>
  <w:style w:type="paragraph" w:styleId="5">
    <w:name w:val="toc 4"/>
    <w:basedOn w:val="1"/>
    <w:next w:val="1"/>
    <w:qFormat/>
    <w:uiPriority w:val="39"/>
    <w:pPr>
      <w:spacing w:line="440" w:lineRule="exact"/>
      <w:ind w:left="840"/>
      <w:jc w:val="left"/>
    </w:pPr>
    <w:rPr>
      <w:sz w:val="18"/>
      <w:szCs w:val="18"/>
    </w:rPr>
  </w:style>
  <w:style w:type="paragraph" w:styleId="6">
    <w:name w:val="Body Text Indent"/>
    <w:basedOn w:val="1"/>
    <w:qFormat/>
    <w:uiPriority w:val="0"/>
    <w:pPr>
      <w:spacing w:after="120"/>
      <w:ind w:left="420" w:leftChars="200"/>
    </w:pPr>
    <w:rPr>
      <w:rFonts w:ascii="Times New Roman" w:hAnsi="Times New Roman"/>
    </w:rPr>
  </w:style>
  <w:style w:type="paragraph" w:styleId="7">
    <w:name w:val="footer"/>
    <w:basedOn w:val="1"/>
    <w:link w:val="17"/>
    <w:unhideWhenUsed/>
    <w:qFormat/>
    <w:uiPriority w:val="99"/>
    <w:pPr>
      <w:tabs>
        <w:tab w:val="center" w:pos="4153"/>
        <w:tab w:val="right" w:pos="8306"/>
      </w:tabs>
      <w:snapToGrid w:val="0"/>
      <w:spacing w:line="240" w:lineRule="auto"/>
      <w:jc w:val="left"/>
    </w:pPr>
    <w:rPr>
      <w:rFonts w:asciiTheme="minorHAnsi" w:hAnsiTheme="minorHAnsi" w:eastAsiaTheme="minorEastAsia" w:cstheme="minorBidi"/>
      <w:sz w:val="18"/>
      <w:szCs w:val="18"/>
    </w:rPr>
  </w:style>
  <w:style w:type="paragraph" w:styleId="8">
    <w:name w:val="header"/>
    <w:basedOn w:val="1"/>
    <w:link w:val="16"/>
    <w:unhideWhenUsed/>
    <w:qFormat/>
    <w:uiPriority w:val="0"/>
    <w:pPr>
      <w:tabs>
        <w:tab w:val="center" w:pos="4153"/>
        <w:tab w:val="right" w:pos="8306"/>
      </w:tabs>
      <w:snapToGrid w:val="0"/>
      <w:spacing w:line="240" w:lineRule="auto"/>
      <w:jc w:val="center"/>
    </w:pPr>
    <w:rPr>
      <w:rFonts w:asciiTheme="minorHAnsi" w:hAnsiTheme="minorHAnsi" w:eastAsiaTheme="minorEastAsia" w:cstheme="minorBidi"/>
      <w:sz w:val="18"/>
      <w:szCs w:val="18"/>
    </w:rPr>
  </w:style>
  <w:style w:type="paragraph" w:styleId="9">
    <w:name w:val="Body Text 2"/>
    <w:basedOn w:val="1"/>
    <w:qFormat/>
    <w:uiPriority w:val="0"/>
    <w:pPr>
      <w:jc w:val="center"/>
    </w:pPr>
    <w:rPr>
      <w:b/>
      <w:spacing w:val="-20"/>
      <w:w w:val="130"/>
      <w:sz w:val="48"/>
      <w:szCs w:val="20"/>
    </w:rPr>
  </w:style>
  <w:style w:type="paragraph" w:styleId="10">
    <w:name w:val="Normal (Web)"/>
    <w:basedOn w:val="1"/>
    <w:semiHidden/>
    <w:unhideWhenUsed/>
    <w:qFormat/>
    <w:uiPriority w:val="99"/>
    <w:rPr>
      <w:sz w:val="24"/>
    </w:rPr>
  </w:style>
  <w:style w:type="paragraph" w:styleId="11">
    <w:name w:val="Body Text First Indent 2"/>
    <w:basedOn w:val="6"/>
    <w:qFormat/>
    <w:uiPriority w:val="0"/>
    <w:pPr>
      <w:spacing w:after="0" w:line="400" w:lineRule="atLeast"/>
      <w:ind w:left="210" w:leftChars="0" w:firstLine="420" w:firstLineChars="200"/>
    </w:pPr>
    <w:rPr>
      <w:sz w:val="20"/>
    </w:rPr>
  </w:style>
  <w:style w:type="character" w:styleId="14">
    <w:name w:val="Strong"/>
    <w:basedOn w:val="13"/>
    <w:qFormat/>
    <w:uiPriority w:val="22"/>
    <w:rPr>
      <w:b/>
    </w:rPr>
  </w:style>
  <w:style w:type="character" w:styleId="15">
    <w:name w:val="Hyperlink"/>
    <w:basedOn w:val="13"/>
    <w:semiHidden/>
    <w:unhideWhenUsed/>
    <w:qFormat/>
    <w:uiPriority w:val="99"/>
    <w:rPr>
      <w:color w:val="0000FF"/>
      <w:u w:val="single"/>
    </w:rPr>
  </w:style>
  <w:style w:type="character" w:customStyle="1" w:styleId="16">
    <w:name w:val="页眉 字符"/>
    <w:basedOn w:val="13"/>
    <w:link w:val="8"/>
    <w:qFormat/>
    <w:uiPriority w:val="99"/>
    <w:rPr>
      <w:sz w:val="18"/>
      <w:szCs w:val="18"/>
    </w:rPr>
  </w:style>
  <w:style w:type="character" w:customStyle="1" w:styleId="17">
    <w:name w:val="页脚 字符"/>
    <w:basedOn w:val="13"/>
    <w:link w:val="7"/>
    <w:qFormat/>
    <w:uiPriority w:val="99"/>
    <w:rPr>
      <w:sz w:val="18"/>
      <w:szCs w:val="18"/>
    </w:rPr>
  </w:style>
  <w:style w:type="character" w:customStyle="1" w:styleId="18">
    <w:name w:val="标题 1 字符"/>
    <w:basedOn w:val="13"/>
    <w:link w:val="3"/>
    <w:qFormat/>
    <w:uiPriority w:val="0"/>
    <w:rPr>
      <w:rFonts w:ascii="Calibri" w:hAnsi="Calibri" w:eastAsia="宋体" w:cs="Times New Roman"/>
      <w:b/>
      <w:bCs/>
      <w:kern w:val="44"/>
      <w:sz w:val="30"/>
      <w:szCs w:val="44"/>
    </w:rPr>
  </w:style>
  <w:style w:type="character" w:customStyle="1" w:styleId="19">
    <w:name w:val="正文文本 字符"/>
    <w:basedOn w:val="13"/>
    <w:link w:val="2"/>
    <w:semiHidden/>
    <w:qFormat/>
    <w:uiPriority w:val="99"/>
    <w:rPr>
      <w:rFonts w:ascii="Calibri" w:hAnsi="Calibri" w:eastAsia="宋体" w:cs="Times New Roman"/>
      <w:szCs w:val="24"/>
    </w:rPr>
  </w:style>
  <w:style w:type="character" w:customStyle="1" w:styleId="20">
    <w:name w:val="NormalCharacter"/>
    <w:qFormat/>
    <w:uiPriority w:val="0"/>
  </w:style>
  <w:style w:type="paragraph" w:customStyle="1" w:styleId="21">
    <w:name w:val="样式 首行缩进:  2 字符"/>
    <w:basedOn w:val="1"/>
    <w:qFormat/>
    <w:uiPriority w:val="0"/>
    <w:pPr>
      <w:ind w:firstLine="560"/>
    </w:pPr>
    <w:rPr>
      <w:rFonts w:eastAsia="仿宋_GB231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4341</Words>
  <Characters>4503</Characters>
  <Lines>40</Lines>
  <Paragraphs>11</Paragraphs>
  <TotalTime>11</TotalTime>
  <ScaleCrop>false</ScaleCrop>
  <LinksUpToDate>false</LinksUpToDate>
  <CharactersWithSpaces>5291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2024-10-24T00:07:00Z</dcterms:created>
  <dc:creator>cao Leshow</dc:creator>
  <cp:lastModifiedBy>腫麽辦？</cp:lastModifiedBy>
  <dcterms:modified xsi:type="dcterms:W3CDTF">2024-11-18T01:33:51Z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845A3EBE45FA40B9ABB3A752FAF1F34E_13</vt:lpwstr>
  </property>
</Properties>
</file>