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default"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w:t>
      </w:r>
      <w:r>
        <w:rPr>
          <w:rStyle w:val="31"/>
          <w:rFonts w:hint="eastAsia" w:ascii="宋体" w:hAnsi="宋体" w:cs="宋体"/>
          <w:b/>
          <w:color w:val="auto"/>
          <w:sz w:val="28"/>
          <w:szCs w:val="28"/>
          <w:highlight w:val="none"/>
          <w:lang w:val="en-US" w:eastAsia="zh-CN"/>
        </w:rPr>
        <w:t>12-203</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61" w:name="_GoBack"/>
      <w:bookmarkEnd w:id="61"/>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安检设备采购项目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6005453F">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十二</w:t>
      </w:r>
      <w:r>
        <w:rPr>
          <w:rStyle w:val="31"/>
          <w:rFonts w:hint="eastAsia" w:ascii="宋体" w:hAnsi="宋体" w:eastAsia="宋体" w:cs="宋体"/>
          <w:b/>
          <w:color w:val="auto"/>
          <w:sz w:val="28"/>
          <w:szCs w:val="28"/>
          <w:highlight w:val="none"/>
          <w:lang w:val="en-US" w:eastAsia="zh-CN"/>
        </w:rPr>
        <w:t>月</w:t>
      </w:r>
    </w:p>
    <w:p w14:paraId="197ED79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018F557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86E2E3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安检设备采购项目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F73A3F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安检设备采购项目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14:30</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6EABA0B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1"/>
          <w:rFonts w:hint="eastAsia" w:ascii="宋体" w:hAnsi="宋体" w:cs="宋体"/>
          <w:bCs/>
          <w:sz w:val="24"/>
          <w:szCs w:val="24"/>
          <w:highlight w:val="none"/>
          <w:lang w:val="en-US" w:eastAsia="zh-CN"/>
        </w:rPr>
        <w:t>采购人</w:t>
      </w:r>
      <w:r>
        <w:rPr>
          <w:rStyle w:val="31"/>
          <w:rFonts w:hint="eastAsia" w:ascii="宋体" w:hAnsi="宋体" w:eastAsia="宋体" w:cs="宋体"/>
          <w:bCs/>
          <w:sz w:val="24"/>
          <w:szCs w:val="24"/>
          <w:highlight w:val="none"/>
          <w:lang w:val="en-US" w:eastAsia="zh-CN"/>
        </w:rPr>
        <w:t>进行核验投标保证金缴纳情况；</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3.退还方式：投标保证金在中标公告公示期满后7日内无息全额退还。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仿宋" w:hAnsi="仿宋" w:eastAsia="仿宋" w:cs="仿宋"/>
          <w:color w:val="000000"/>
          <w:sz w:val="24"/>
          <w:lang w:val="en-US" w:eastAsia="zh-CN"/>
        </w:rPr>
        <w:t>029-33350904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p w14:paraId="73222526">
      <w:pPr>
        <w:pStyle w:val="9"/>
        <w:spacing w:line="360" w:lineRule="auto"/>
        <w:ind w:firstLine="480" w:firstLineChars="200"/>
        <w:rPr>
          <w:rFonts w:hint="default" w:ascii="宋体" w:hAnsi="宋体" w:eastAsia="宋体" w:cs="Times New Roman"/>
          <w:b w:val="0"/>
          <w:bCs w:val="0"/>
          <w:caps w:val="0"/>
          <w:kern w:val="2"/>
          <w:sz w:val="24"/>
          <w:szCs w:val="24"/>
          <w:highlight w:val="yellow"/>
          <w:u w:val="none"/>
          <w:lang w:val="en-US" w:eastAsia="zh-CN" w:bidi="ar-SA"/>
        </w:rPr>
      </w:pPr>
      <w:r>
        <w:rPr>
          <w:rFonts w:hint="eastAsia" w:ascii="宋体" w:hAnsi="宋体" w:eastAsia="宋体" w:cs="Times New Roman"/>
          <w:b w:val="0"/>
          <w:bCs w:val="0"/>
          <w:caps w:val="0"/>
          <w:kern w:val="2"/>
          <w:sz w:val="24"/>
          <w:szCs w:val="24"/>
          <w:highlight w:val="yellow"/>
          <w:u w:val="none"/>
          <w:lang w:val="en-US" w:eastAsia="zh-CN" w:bidi="ar-SA"/>
        </w:rPr>
        <w:t>陕西中医药大学第二附属医院安检设备采购项目需购置3套安全检测系统，</w:t>
      </w:r>
      <w:r>
        <w:rPr>
          <w:rFonts w:hint="eastAsia" w:ascii="宋体" w:hAnsi="宋体" w:cs="Times New Roman"/>
          <w:b w:val="0"/>
          <w:bCs w:val="0"/>
          <w:caps w:val="0"/>
          <w:kern w:val="2"/>
          <w:sz w:val="24"/>
          <w:szCs w:val="24"/>
          <w:highlight w:val="yellow"/>
          <w:u w:val="none"/>
          <w:lang w:val="en-US" w:eastAsia="zh-CN" w:bidi="ar-SA"/>
        </w:rPr>
        <w:t>每套应</w:t>
      </w:r>
      <w:r>
        <w:rPr>
          <w:rFonts w:hint="eastAsia" w:ascii="宋体" w:hAnsi="宋体" w:eastAsia="宋体" w:cs="Times New Roman"/>
          <w:b w:val="0"/>
          <w:bCs w:val="0"/>
          <w:caps w:val="0"/>
          <w:kern w:val="2"/>
          <w:sz w:val="24"/>
          <w:szCs w:val="24"/>
          <w:highlight w:val="yellow"/>
          <w:u w:val="none"/>
          <w:lang w:val="en-US" w:eastAsia="zh-CN" w:bidi="ar-SA"/>
        </w:rPr>
        <w:t>包含X线安全检测系统、手持金属探测仪、液体检测仪和安检门。</w:t>
      </w:r>
      <w:r>
        <w:rPr>
          <w:rFonts w:hint="eastAsia" w:ascii="宋体" w:hAnsi="宋体" w:cs="Times New Roman"/>
          <w:b w:val="0"/>
          <w:bCs w:val="0"/>
          <w:caps w:val="0"/>
          <w:kern w:val="2"/>
          <w:sz w:val="24"/>
          <w:szCs w:val="24"/>
          <w:highlight w:val="yellow"/>
          <w:u w:val="none"/>
          <w:lang w:val="en-US" w:eastAsia="zh-CN" w:bidi="ar-SA"/>
        </w:rPr>
        <w:t>并安装至指定地点。</w:t>
      </w:r>
    </w:p>
    <w:p w14:paraId="2F4C371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产品要求</w:t>
      </w:r>
    </w:p>
    <w:tbl>
      <w:tblPr>
        <w:tblStyle w:val="20"/>
        <w:tblW w:w="9349"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4"/>
        <w:gridCol w:w="6838"/>
        <w:gridCol w:w="546"/>
      </w:tblGrid>
      <w:tr w14:paraId="3F6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81" w:type="dxa"/>
            <w:noWrap w:val="0"/>
            <w:vAlign w:val="center"/>
          </w:tcPr>
          <w:p w14:paraId="4AE06F06">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484" w:type="dxa"/>
            <w:noWrap w:val="0"/>
            <w:vAlign w:val="center"/>
          </w:tcPr>
          <w:p w14:paraId="505FD66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货物名称</w:t>
            </w:r>
          </w:p>
        </w:tc>
        <w:tc>
          <w:tcPr>
            <w:tcW w:w="6838" w:type="dxa"/>
            <w:noWrap w:val="0"/>
            <w:vAlign w:val="center"/>
          </w:tcPr>
          <w:p w14:paraId="1FBE58FD">
            <w:pPr>
              <w:keepNext w:val="0"/>
              <w:keepLines w:val="0"/>
              <w:pageBreakBefore w:val="0"/>
              <w:kinsoku/>
              <w:wordWrap/>
              <w:overflowPunct/>
              <w:topLinePunct w:val="0"/>
              <w:bidi w:val="0"/>
              <w:spacing w:line="24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技术参数</w:t>
            </w:r>
          </w:p>
        </w:tc>
        <w:tc>
          <w:tcPr>
            <w:tcW w:w="546" w:type="dxa"/>
            <w:noWrap w:val="0"/>
            <w:vAlign w:val="center"/>
          </w:tcPr>
          <w:p w14:paraId="6DE6BA19">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数量</w:t>
            </w:r>
          </w:p>
        </w:tc>
      </w:tr>
      <w:tr w14:paraId="13AD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1" w:type="dxa"/>
            <w:noWrap w:val="0"/>
            <w:vAlign w:val="center"/>
          </w:tcPr>
          <w:p w14:paraId="6AD56CD2">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1</w:t>
            </w:r>
          </w:p>
        </w:tc>
        <w:tc>
          <w:tcPr>
            <w:tcW w:w="1484" w:type="dxa"/>
            <w:noWrap w:val="0"/>
            <w:vAlign w:val="center"/>
          </w:tcPr>
          <w:p w14:paraId="104E78FF">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智慧安检应用</w:t>
            </w:r>
          </w:p>
        </w:tc>
        <w:tc>
          <w:tcPr>
            <w:tcW w:w="6838" w:type="dxa"/>
            <w:noWrap w:val="0"/>
            <w:vAlign w:val="center"/>
          </w:tcPr>
          <w:p w14:paraId="7414AB7E">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1.基于人，物，事件的全方位管控，提供安检资源、设备配置管理。包含历史记录数据查询模块。</w:t>
            </w:r>
          </w:p>
          <w:p w14:paraId="3CFAD691">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2.围绕安检员的内部精细化管理模式；</w:t>
            </w:r>
          </w:p>
          <w:p w14:paraId="06EC1F33">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3.下沉到设备元器件的完备的资产管理体系；</w:t>
            </w:r>
          </w:p>
          <w:p w14:paraId="1D1AFA7E">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4.标准化的事件管控流程和业务闭环；</w:t>
            </w:r>
          </w:p>
          <w:p w14:paraId="51C72671">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5.物联资源的管理，汇聚，多维数据融合；</w:t>
            </w:r>
          </w:p>
          <w:p w14:paraId="3EA3FFD0">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6.完善的数据服务能力，安检设备联网可视化管理，过检物品查询，关联监控点和设备录像进行可视化追溯；</w:t>
            </w:r>
          </w:p>
          <w:p w14:paraId="76D44403">
            <w:pPr>
              <w:pStyle w:val="18"/>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7.可实现与</w:t>
            </w:r>
            <w:r>
              <w:rPr>
                <w:rFonts w:hint="eastAsia" w:ascii="宋体" w:hAnsi="宋体" w:cs="宋体"/>
                <w:sz w:val="21"/>
                <w:szCs w:val="21"/>
                <w:u w:val="none"/>
                <w:vertAlign w:val="baseline"/>
                <w:lang w:val="en-US" w:eastAsia="zh-CN"/>
              </w:rPr>
              <w:t>医</w:t>
            </w:r>
            <w:r>
              <w:rPr>
                <w:rFonts w:hint="eastAsia" w:ascii="宋体" w:hAnsi="宋体" w:eastAsia="宋体" w:cs="宋体"/>
                <w:sz w:val="21"/>
                <w:szCs w:val="21"/>
                <w:u w:val="none"/>
                <w:vertAlign w:val="baseline"/>
                <w:lang w:val="en-US" w:eastAsia="zh-CN"/>
              </w:rPr>
              <w:t>院内现有智慧综合管理平台对接，数据实现双向上传下发。（提供原厂证明文件）</w:t>
            </w:r>
          </w:p>
        </w:tc>
        <w:tc>
          <w:tcPr>
            <w:tcW w:w="546" w:type="dxa"/>
            <w:noWrap w:val="0"/>
            <w:vAlign w:val="center"/>
          </w:tcPr>
          <w:p w14:paraId="044CBB86">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1</w:t>
            </w:r>
          </w:p>
        </w:tc>
      </w:tr>
      <w:tr w14:paraId="59B1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1" w:type="dxa"/>
            <w:noWrap w:val="0"/>
            <w:vAlign w:val="center"/>
          </w:tcPr>
          <w:p w14:paraId="0889FCCE">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2</w:t>
            </w:r>
          </w:p>
        </w:tc>
        <w:tc>
          <w:tcPr>
            <w:tcW w:w="1484" w:type="dxa"/>
            <w:noWrap w:val="0"/>
            <w:vAlign w:val="center"/>
          </w:tcPr>
          <w:p w14:paraId="48EDC5DA">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X射线智能安全检查系统</w:t>
            </w:r>
          </w:p>
        </w:tc>
        <w:tc>
          <w:tcPr>
            <w:tcW w:w="6838" w:type="dxa"/>
            <w:noWrap w:val="0"/>
            <w:vAlign w:val="center"/>
          </w:tcPr>
          <w:p w14:paraId="0A22EB4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1.通道尺寸：500mm×300mm（宽×高）</w:t>
            </w:r>
          </w:p>
          <w:p w14:paraId="3FC8534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2.外形尺寸：1483 mm×730 mm×1060 mm（长×宽×高）</w:t>
            </w:r>
          </w:p>
          <w:p w14:paraId="282D796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3.传送带高度：600mm</w:t>
            </w:r>
          </w:p>
          <w:p w14:paraId="504E2B0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4.工作温度/湿度：0℃~45℃；10%至90%(在不凝结水滴状态下)</w:t>
            </w:r>
          </w:p>
          <w:p w14:paraId="43B3ADF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5.X射线冷却/工作周期：油冷/连续</w:t>
            </w:r>
          </w:p>
          <w:p w14:paraId="6F2D5A6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6.设备由 X 射线源、X 射线探测器、控制部件、传送带、计算机等组成，采用单源多能量X射线检查技术，能够准确识别有机物（橙色显示）、无机物（蓝色显示）和混合物（绿色显示）。</w:t>
            </w:r>
          </w:p>
          <w:p w14:paraId="7742E11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7.设备噪声：设备正常工作时在距设备外表面1m的任意处，设备噪声应≤60dB(A)</w:t>
            </w:r>
          </w:p>
          <w:p w14:paraId="45521DB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8.外壳防护等级应符合GB/T 4208-2017的规定，不低于IP20的要求</w:t>
            </w:r>
          </w:p>
          <w:p w14:paraId="7D808C2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9.设备智能识别算法，实现对违禁品的智能识别功能。当检测到违禁品时，应能自动识别并红色方框圈定、声音报警：</w:t>
            </w:r>
          </w:p>
          <w:p w14:paraId="188649A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10.图像回拉：设备可按图像生成顺序连续回调当前用户的历史过检图像，无图像数量限制</w:t>
            </w:r>
          </w:p>
          <w:p w14:paraId="780A589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11.保护接地：设备应具有可供连接保护接地导线的保护接地端子，应有明显的标识；保护接地端与保护接地的所有可触及金属部件之间的电阻＜0.09Ω；接地线的颜色应是黄绿色。</w:t>
            </w:r>
          </w:p>
          <w:p w14:paraId="7CDB95C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12.人包关联与事件追溯功能：设备应能将</w:t>
            </w:r>
            <w:r>
              <w:rPr>
                <w:rFonts w:hint="eastAsia" w:ascii="宋体" w:hAnsi="宋体" w:cs="宋体"/>
                <w:sz w:val="21"/>
                <w:szCs w:val="21"/>
                <w:u w:val="none"/>
                <w:vertAlign w:val="baseline"/>
                <w:lang w:val="en-US" w:eastAsia="zh-CN"/>
              </w:rPr>
              <w:t>人员</w:t>
            </w:r>
            <w:r>
              <w:rPr>
                <w:rFonts w:hint="eastAsia" w:ascii="宋体" w:hAnsi="宋体" w:eastAsia="宋体" w:cs="宋体"/>
                <w:sz w:val="21"/>
                <w:szCs w:val="21"/>
                <w:u w:val="none"/>
                <w:vertAlign w:val="baseline"/>
                <w:lang w:val="en-US" w:eastAsia="zh-CN"/>
              </w:rPr>
              <w:t>的放包和取包视频、抓拍的人脸和包裹照片与X射线透射图像进行关联存储，并可进行后续追溯查询回放。</w:t>
            </w:r>
          </w:p>
          <w:p w14:paraId="241FB9A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13.用户登录功能：设备应具有用户注册、冻结、编辑和删除功能，同时具备密码录入、编辑和登录功能</w:t>
            </w:r>
          </w:p>
          <w:p w14:paraId="0E00250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14.单次检查剂量：设备在0.22m/s、0.32m/s速度下正常工作时，单次检查剂量均应＜1.05μGy</w:t>
            </w:r>
          </w:p>
          <w:p w14:paraId="0DF2A06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15.超薄物体检测功能：当被测物过薄而无法遮挡光障时，人工按下操作键盘上的相应功能键，设备能检测出厚度0.01mm的标准塞尺</w:t>
            </w:r>
          </w:p>
          <w:p w14:paraId="0E5A96C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16.空间分辨力：设备在0.22m/s、0.32m/s速度下正常工作时，能够分辨最小线对直径0.8mm</w:t>
            </w:r>
          </w:p>
          <w:p w14:paraId="3DF8AC6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17.缩放功能：设备可通过鼠标滚轮对图像连续放大，放大倍数应至少可配置为2～128倍，并可通过鼠标实现对图像的移动。设备应具有对过包图像选中放大或缩小的功能，并可根据选中区域的移动而移动。</w:t>
            </w:r>
          </w:p>
          <w:p w14:paraId="4A7B0A4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18.传送带承载能力：输送装置的负载能力应不低于260kg。</w:t>
            </w:r>
          </w:p>
          <w:p w14:paraId="3D1E036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19.智能节能功能：设备应能通过入口处的IPC摄像头实现智能节能功能。当设备入口无人员出入时，传送装置应自动停止；当有人员出现在设备入口时，传送装置应自动运行。</w:t>
            </w:r>
          </w:p>
          <w:p w14:paraId="0F257AC3">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20.疑似危险品识别自学习功能：设备应具有疑似危险品识别自学习功能，支持将显示的未识别疑似危险品人工确认为疑似危险品，使设备在再次出现该疑似危险品时能自动识别。</w:t>
            </w:r>
          </w:p>
          <w:p w14:paraId="2AA1505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21.图像信噪比：X射线图像信噪比（SNR）大于等于40dB。</w:t>
            </w:r>
          </w:p>
          <w:p w14:paraId="7F8B63A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22.智能识别灵敏度设置：设备对违禁品的智能识别灵敏度应可调节，调节档位可分为1-5档。</w:t>
            </w:r>
          </w:p>
          <w:p w14:paraId="3EB2903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23.导水槽功能：当传输通道内发生液体倾洒时，应具有特定导水装置，可将液体疏导至安检机外部并自动排出</w:t>
            </w:r>
          </w:p>
          <w:p w14:paraId="3A52873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24.图像解像功能：对X光机测试体的0.8mm线对进行X射线图像解像力分析，其MTF值应大于等于0.5</w:t>
            </w:r>
          </w:p>
          <w:p w14:paraId="189D70F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25.包包关联：支持通道内相机拍摄的可见光图片和X光图片进行1：1绑定，准确率应大于等于98%</w:t>
            </w:r>
          </w:p>
          <w:p w14:paraId="64C935A1">
            <w:pPr>
              <w:ind w:firstLine="420" w:firstLineChars="200"/>
              <w:rPr>
                <w:rFonts w:hint="eastAsia"/>
                <w:kern w:val="2"/>
                <w:sz w:val="21"/>
                <w:u w:val="none"/>
                <w:lang w:val="en-US" w:eastAsia="zh-CN" w:bidi="ar-SA"/>
              </w:rPr>
            </w:pPr>
            <w:r>
              <w:rPr>
                <w:rFonts w:hint="eastAsia" w:ascii="宋体" w:hAnsi="宋体" w:eastAsia="宋体" w:cs="宋体"/>
                <w:sz w:val="21"/>
                <w:szCs w:val="21"/>
                <w:u w:val="none"/>
              </w:rPr>
              <w:t>以上参数▲项应出具内容相符合</w:t>
            </w:r>
            <w:r>
              <w:rPr>
                <w:rFonts w:hint="eastAsia" w:ascii="宋体" w:hAnsi="宋体" w:eastAsia="宋体" w:cs="宋体"/>
                <w:sz w:val="21"/>
                <w:szCs w:val="21"/>
                <w:u w:val="none"/>
                <w:lang w:eastAsia="zh-CN"/>
              </w:rPr>
              <w:t>的</w:t>
            </w:r>
            <w:r>
              <w:rPr>
                <w:rFonts w:hint="eastAsia" w:ascii="宋体" w:hAnsi="宋体" w:cs="宋体"/>
                <w:sz w:val="21"/>
                <w:szCs w:val="21"/>
                <w:u w:val="none"/>
                <w:lang w:val="en-US" w:eastAsia="zh-CN"/>
              </w:rPr>
              <w:t>具有资质的</w:t>
            </w:r>
            <w:r>
              <w:rPr>
                <w:rFonts w:hint="eastAsia" w:ascii="宋体" w:hAnsi="宋体" w:eastAsia="宋体" w:cs="宋体"/>
                <w:sz w:val="21"/>
                <w:szCs w:val="21"/>
                <w:u w:val="none"/>
                <w:lang w:val="en-US" w:eastAsia="zh-CN"/>
              </w:rPr>
              <w:t>第</w:t>
            </w:r>
            <w:r>
              <w:rPr>
                <w:rFonts w:hint="eastAsia" w:ascii="宋体" w:hAnsi="宋体" w:eastAsia="宋体" w:cs="宋体"/>
                <w:sz w:val="21"/>
                <w:szCs w:val="21"/>
                <w:u w:val="none"/>
              </w:rPr>
              <w:t>三方</w:t>
            </w:r>
            <w:r>
              <w:rPr>
                <w:rFonts w:hint="eastAsia" w:ascii="宋体" w:hAnsi="宋体" w:cs="宋体"/>
                <w:sz w:val="21"/>
                <w:szCs w:val="21"/>
                <w:u w:val="none"/>
                <w:lang w:val="en-US" w:eastAsia="zh-CN"/>
              </w:rPr>
              <w:t>检</w:t>
            </w:r>
            <w:r>
              <w:rPr>
                <w:rFonts w:hint="eastAsia" w:ascii="宋体" w:hAnsi="宋体" w:eastAsia="宋体" w:cs="宋体"/>
                <w:sz w:val="21"/>
                <w:szCs w:val="21"/>
                <w:u w:val="none"/>
              </w:rPr>
              <w:t>测报告</w:t>
            </w:r>
          </w:p>
        </w:tc>
        <w:tc>
          <w:tcPr>
            <w:tcW w:w="546" w:type="dxa"/>
            <w:noWrap w:val="0"/>
            <w:vAlign w:val="center"/>
          </w:tcPr>
          <w:p w14:paraId="37920F2F">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u w:val="none"/>
                <w:vertAlign w:val="baseline"/>
                <w:lang w:val="en-US" w:eastAsia="zh-CN"/>
              </w:rPr>
              <w:t>3</w:t>
            </w:r>
          </w:p>
        </w:tc>
      </w:tr>
      <w:tr w14:paraId="4A25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1" w:type="dxa"/>
            <w:noWrap w:val="0"/>
            <w:vAlign w:val="center"/>
          </w:tcPr>
          <w:p w14:paraId="6F62AC89">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3</w:t>
            </w:r>
          </w:p>
        </w:tc>
        <w:tc>
          <w:tcPr>
            <w:tcW w:w="1484" w:type="dxa"/>
            <w:noWrap w:val="0"/>
            <w:vAlign w:val="center"/>
          </w:tcPr>
          <w:p w14:paraId="0E8E2085">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智能安检门</w:t>
            </w:r>
          </w:p>
        </w:tc>
        <w:tc>
          <w:tcPr>
            <w:tcW w:w="6838" w:type="dxa"/>
            <w:noWrap w:val="0"/>
            <w:vAlign w:val="center"/>
          </w:tcPr>
          <w:p w14:paraId="4B50C4F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1.应符合《GB 15210-2018 通过式金属探测门通用技术规范》；</w:t>
            </w:r>
          </w:p>
          <w:p w14:paraId="4EF7357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2.门体显示：采用7寸液晶屏显示，可展示客流和报警数据；</w:t>
            </w:r>
          </w:p>
          <w:p w14:paraId="5A824647">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3.多区位报警功能：人体不同位置的多个金属通过安检门时会同时报警，并可以指示多个金属的位置，最多支持18区位。每个区域255级灵敏度等级调节；</w:t>
            </w:r>
          </w:p>
          <w:p w14:paraId="779F0CD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4.金属门应能对达到或超过限定量的金属进行报警，不应该出现漏报警；</w:t>
            </w:r>
          </w:p>
          <w:p w14:paraId="0A0EC54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5.通行速度：应不小于0.2m/s～2.0m/s。当人在规定的通行速度范围内穿过时，应报警测试物正确响应并报警，总探测率应≥90%；</w:t>
            </w:r>
          </w:p>
          <w:p w14:paraId="3D95956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6.报警响应时间：进入探测区后1s，金属门应能发出报警提示，且离开探测区后报警指示延续应小于等于1s；</w:t>
            </w:r>
          </w:p>
          <w:p w14:paraId="5CEDC40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7.报警显示功能：应可在1、6、12、18区位模式间切换；系统前后两侧都有LED灯条，可显示引起报警的金属物的高度，在门板左右均可通过LED灯条显示对应报警区域；当有金属物进入检测区域时，该区域对应的指示灯将点亮；当多个区域有报警物时，对应的区域都应显示报警；</w:t>
            </w:r>
          </w:p>
          <w:p w14:paraId="45ECB28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8.稳定工作时间：应≥24h，待机期间不应出现误报警；</w:t>
            </w:r>
          </w:p>
          <w:p w14:paraId="49A2D52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9.计数功能：应能记录有效受检人数和发生过警报的人数，并支持复位清零，支持正向反向相加计数、正向反向相减计数和正向反向分别计数；</w:t>
            </w:r>
          </w:p>
          <w:p w14:paraId="3EE5338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10.抗相互干扰：相距50cm，并排安置多台安检门，各金属门应能正常工作；</w:t>
            </w:r>
          </w:p>
          <w:p w14:paraId="407DAAB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11.抗周围静止金属物影响：应不受门体四周1m范围以外的大静止金属物体的影响；</w:t>
            </w:r>
          </w:p>
          <w:p w14:paraId="674530F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12.飞物报警功能：将1元硬币以不大于1m/s 速度抛过探测区域时，安检门应给出报警指示，漏报率不大于2%；</w:t>
            </w:r>
          </w:p>
          <w:p w14:paraId="0B06487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13.探测区内磁感应强度：在探测区左右边界各方内150mm形成的区域中，任意一点的磁感应强度都不应超过7μT；</w:t>
            </w:r>
          </w:p>
          <w:p w14:paraId="1D15A84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14.探测灵敏度范围：可一键设置灵敏度，灵敏度等级为0-9999级；</w:t>
            </w:r>
          </w:p>
          <w:p w14:paraId="3194672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15.实时金属数值显示功能：样机切换到调试界面时，每个人通过安检门时，可显示出人身上的金属物品对应到每个防区的数值，也可以实时显示当前环境下的每个防区的环境干扰数值；</w:t>
            </w:r>
          </w:p>
          <w:p w14:paraId="3C1FBD19">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16.显示屏实时显示信息功能：样机显示屏上可实时显示设备的红外状态、网络连接状态、机箱与门板的连接状态、金属信号强度、系统时间；</w:t>
            </w:r>
          </w:p>
          <w:p w14:paraId="57B1245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17.多位置供电功能：样机的机箱顶部、左右门板均有电源和网络接口；</w:t>
            </w:r>
          </w:p>
          <w:p w14:paraId="0E2D1C4F">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18.数据报表功能：安检系统应能存储每天通过的人数、金属告警数、金属告警率至远程服务器，在远程服务器可以选择以表单形式或者图表形式展示；并支持按时间、位置、告警等级查询历史信息，历史信息中可展示时间、告警等级、位置、报警区位及信号强度并以安检门图例的形式显示报警区位，同时支持历史信息的数据报表导出，而且存储数据不小于100000000条；</w:t>
            </w:r>
          </w:p>
          <w:p w14:paraId="1ED41462">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19.远程控制：如果允许通过远程计算机或网络进行集中控制，则应提供相应的控制程序，且设备应具备远程参数调整、远程诊断及报警相关数据存储功能；当远程控制因故中断时，金属门应能自动恢复本地控制；</w:t>
            </w:r>
          </w:p>
          <w:p w14:paraId="1F0EFB3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20.面板按键功能：机箱上安装有金属按键可通过按压按键实现LCD屏显示界面一键切换；</w:t>
            </w:r>
          </w:p>
          <w:p w14:paraId="09CC8C9A">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21.联动功能：样机门板底部左右电源面板共支持不少于4路报警输出接口，每路报警输出可设置持续事件、常开常闭状态及关联通行方向（可设置正向、反向、双向）。</w:t>
            </w:r>
          </w:p>
          <w:p w14:paraId="60CDADFE">
            <w:pPr>
              <w:ind w:firstLine="420" w:firstLineChars="200"/>
              <w:rPr>
                <w:rFonts w:hint="eastAsia" w:eastAsia="宋体"/>
                <w:kern w:val="2"/>
                <w:sz w:val="21"/>
                <w:u w:val="none"/>
                <w:lang w:val="en-US" w:eastAsia="zh-CN" w:bidi="ar-SA"/>
              </w:rPr>
            </w:pPr>
            <w:r>
              <w:rPr>
                <w:rFonts w:hint="eastAsia" w:ascii="宋体" w:hAnsi="宋体" w:eastAsia="宋体" w:cs="宋体"/>
                <w:sz w:val="21"/>
                <w:szCs w:val="21"/>
                <w:u w:val="none"/>
              </w:rPr>
              <w:t>▲以上参数</w:t>
            </w:r>
            <w:r>
              <w:rPr>
                <w:rFonts w:hint="eastAsia" w:ascii="宋体" w:hAnsi="宋体" w:eastAsia="宋体" w:cs="宋体"/>
                <w:sz w:val="21"/>
                <w:szCs w:val="21"/>
                <w:u w:val="none"/>
                <w:lang w:val="en-US" w:eastAsia="zh-CN"/>
              </w:rPr>
              <w:t>第13、20-21</w:t>
            </w:r>
            <w:r>
              <w:rPr>
                <w:rFonts w:hint="eastAsia" w:ascii="宋体" w:hAnsi="宋体" w:eastAsia="宋体" w:cs="宋体"/>
                <w:sz w:val="21"/>
                <w:szCs w:val="21"/>
                <w:u w:val="none"/>
              </w:rPr>
              <w:t>项应出具内容相符合</w:t>
            </w:r>
            <w:r>
              <w:rPr>
                <w:rFonts w:hint="eastAsia" w:ascii="宋体" w:hAnsi="宋体" w:eastAsia="宋体" w:cs="宋体"/>
                <w:sz w:val="21"/>
                <w:szCs w:val="21"/>
                <w:u w:val="none"/>
                <w:lang w:eastAsia="zh-CN"/>
              </w:rPr>
              <w:t>的</w:t>
            </w:r>
            <w:r>
              <w:rPr>
                <w:rFonts w:hint="eastAsia" w:ascii="宋体" w:hAnsi="宋体" w:eastAsia="宋体" w:cs="宋体"/>
                <w:sz w:val="21"/>
                <w:szCs w:val="21"/>
                <w:u w:val="none"/>
                <w:vertAlign w:val="baseline"/>
                <w:lang w:val="en-US" w:eastAsia="zh-CN"/>
              </w:rPr>
              <w:t>公安部检测报告</w:t>
            </w:r>
            <w:r>
              <w:rPr>
                <w:rFonts w:hint="eastAsia" w:ascii="宋体" w:hAnsi="宋体" w:eastAsia="宋体" w:cs="宋体"/>
                <w:sz w:val="21"/>
                <w:szCs w:val="21"/>
                <w:u w:val="none"/>
                <w:lang w:eastAsia="zh-CN"/>
              </w:rPr>
              <w:t>。</w:t>
            </w:r>
          </w:p>
        </w:tc>
        <w:tc>
          <w:tcPr>
            <w:tcW w:w="546" w:type="dxa"/>
            <w:noWrap w:val="0"/>
            <w:vAlign w:val="center"/>
          </w:tcPr>
          <w:p w14:paraId="24F6DA08">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u w:val="none"/>
                <w:vertAlign w:val="baseline"/>
                <w:lang w:val="en-US" w:eastAsia="zh-CN"/>
              </w:rPr>
              <w:t>3</w:t>
            </w:r>
          </w:p>
        </w:tc>
      </w:tr>
      <w:tr w14:paraId="3363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1" w:type="dxa"/>
            <w:noWrap w:val="0"/>
            <w:vAlign w:val="center"/>
          </w:tcPr>
          <w:p w14:paraId="63588243">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4</w:t>
            </w:r>
          </w:p>
        </w:tc>
        <w:tc>
          <w:tcPr>
            <w:tcW w:w="1484" w:type="dxa"/>
            <w:noWrap w:val="0"/>
            <w:vAlign w:val="center"/>
          </w:tcPr>
          <w:p w14:paraId="6835A08F">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液体探测仪</w:t>
            </w:r>
          </w:p>
        </w:tc>
        <w:tc>
          <w:tcPr>
            <w:tcW w:w="6838" w:type="dxa"/>
            <w:noWrap w:val="0"/>
            <w:vAlign w:val="center"/>
          </w:tcPr>
          <w:p w14:paraId="645D00E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1.检测时间：仪器对非金属容器内液体的检测时间应小于等于 1s;对金属容器内水和无水乙醇的检测时间应小于等于4s；</w:t>
            </w:r>
          </w:p>
          <w:p w14:paraId="055C193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2.数据存储功能：使用仪器的检测数据存储量应不小于10000000 条，图片数据存储不少于 10000张；</w:t>
            </w:r>
          </w:p>
          <w:p w14:paraId="1EA914BD">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3.数据统计功能:仪器应身备数据统计功能，应能对当日、昨日，本周、本月、全部的检测结果进行统计，包括金属检测报警次数、金属检测未报警次数、非金属检测报警次数、非金属检测未报警次数、合计检测次数；</w:t>
            </w:r>
          </w:p>
          <w:p w14:paraId="27FC36C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rPr>
              <w:t>▲</w:t>
            </w:r>
            <w:r>
              <w:rPr>
                <w:rFonts w:hint="eastAsia" w:ascii="宋体" w:hAnsi="宋体" w:eastAsia="宋体" w:cs="宋体"/>
                <w:sz w:val="21"/>
                <w:szCs w:val="21"/>
                <w:u w:val="none"/>
                <w:vertAlign w:val="baseline"/>
                <w:lang w:val="en-US" w:eastAsia="zh-CN"/>
              </w:rPr>
              <w:t>4.拍照功能：仪器应基备拍照功能,检测后可对被测物进行拍照，预览照片后可选择进行重拍或保存；</w:t>
            </w:r>
          </w:p>
          <w:p w14:paraId="54175211">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5.外壳防护等级：仪器外壳防护等级应符合 GB/T4208-2017中IP54 的要求；</w:t>
            </w:r>
          </w:p>
          <w:p w14:paraId="1A4DEAD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6.功能模块检查：仪器应具有非金属材质容器检测功能模块和金属材质容器检测功能模块；</w:t>
            </w:r>
          </w:p>
          <w:p w14:paraId="64E57A2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7.支持无线上传功能：仪器应具备无线传输功能,能够通过网络对检测结果进行传输；</w:t>
            </w:r>
          </w:p>
          <w:p w14:paraId="7BCE87EC">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8.报警指示：仪器应能够提供声、光、震动、文字或图案等报警提示方式，报警声音、震动应能单独关闭；</w:t>
            </w:r>
          </w:p>
          <w:p w14:paraId="273A006B">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9.检测种类：可探测液体种类不低于150种。</w:t>
            </w:r>
          </w:p>
          <w:p w14:paraId="2C14D5EF">
            <w:pPr>
              <w:rPr>
                <w:rFonts w:hint="eastAsia"/>
                <w:kern w:val="2"/>
                <w:sz w:val="21"/>
                <w:u w:val="none"/>
                <w:lang w:val="en-US" w:eastAsia="zh-CN" w:bidi="ar-SA"/>
              </w:rPr>
            </w:pPr>
            <w:r>
              <w:rPr>
                <w:rFonts w:hint="eastAsia" w:ascii="宋体" w:hAnsi="宋体" w:eastAsia="宋体" w:cs="宋体"/>
                <w:sz w:val="21"/>
                <w:szCs w:val="21"/>
                <w:u w:val="none"/>
              </w:rPr>
              <w:t>▲以上参数</w:t>
            </w:r>
            <w:r>
              <w:rPr>
                <w:rFonts w:hint="eastAsia" w:ascii="宋体" w:hAnsi="宋体" w:eastAsia="宋体" w:cs="宋体"/>
                <w:sz w:val="21"/>
                <w:szCs w:val="21"/>
                <w:u w:val="none"/>
                <w:lang w:val="en-US" w:eastAsia="zh-CN"/>
              </w:rPr>
              <w:t>第1、4</w:t>
            </w:r>
            <w:r>
              <w:rPr>
                <w:rFonts w:hint="eastAsia" w:ascii="宋体" w:hAnsi="宋体" w:eastAsia="宋体" w:cs="宋体"/>
                <w:sz w:val="21"/>
                <w:szCs w:val="21"/>
                <w:u w:val="none"/>
              </w:rPr>
              <w:t>项应出具内容相符合</w:t>
            </w:r>
            <w:r>
              <w:rPr>
                <w:rFonts w:hint="eastAsia" w:ascii="宋体" w:hAnsi="宋体" w:eastAsia="宋体" w:cs="宋体"/>
                <w:sz w:val="21"/>
                <w:szCs w:val="21"/>
                <w:u w:val="none"/>
                <w:lang w:eastAsia="zh-CN"/>
              </w:rPr>
              <w:t>的</w:t>
            </w:r>
            <w:r>
              <w:rPr>
                <w:rFonts w:hint="eastAsia" w:ascii="宋体" w:hAnsi="宋体" w:cs="宋体"/>
                <w:sz w:val="21"/>
                <w:szCs w:val="21"/>
                <w:u w:val="none"/>
                <w:lang w:val="en-US" w:eastAsia="zh-CN"/>
              </w:rPr>
              <w:t>具有资质的</w:t>
            </w:r>
            <w:r>
              <w:rPr>
                <w:rFonts w:hint="eastAsia" w:ascii="宋体" w:hAnsi="宋体" w:eastAsia="宋体" w:cs="宋体"/>
                <w:sz w:val="21"/>
                <w:szCs w:val="21"/>
                <w:u w:val="none"/>
                <w:lang w:val="en-US" w:eastAsia="zh-CN"/>
              </w:rPr>
              <w:t>第</w:t>
            </w:r>
            <w:r>
              <w:rPr>
                <w:rFonts w:hint="eastAsia" w:ascii="宋体" w:hAnsi="宋体" w:eastAsia="宋体" w:cs="宋体"/>
                <w:sz w:val="21"/>
                <w:szCs w:val="21"/>
                <w:u w:val="none"/>
              </w:rPr>
              <w:t>三方</w:t>
            </w:r>
            <w:r>
              <w:rPr>
                <w:rFonts w:hint="eastAsia" w:ascii="宋体" w:hAnsi="宋体" w:cs="宋体"/>
                <w:sz w:val="21"/>
                <w:szCs w:val="21"/>
                <w:u w:val="none"/>
                <w:lang w:val="en-US" w:eastAsia="zh-CN"/>
              </w:rPr>
              <w:t>检</w:t>
            </w:r>
            <w:r>
              <w:rPr>
                <w:rFonts w:hint="eastAsia" w:ascii="宋体" w:hAnsi="宋体" w:eastAsia="宋体" w:cs="宋体"/>
                <w:sz w:val="21"/>
                <w:szCs w:val="21"/>
                <w:u w:val="none"/>
              </w:rPr>
              <w:t>测报告</w:t>
            </w:r>
          </w:p>
        </w:tc>
        <w:tc>
          <w:tcPr>
            <w:tcW w:w="546" w:type="dxa"/>
            <w:noWrap w:val="0"/>
            <w:vAlign w:val="center"/>
          </w:tcPr>
          <w:p w14:paraId="64D85DB2">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u w:val="none"/>
                <w:vertAlign w:val="baseline"/>
                <w:lang w:val="en-US" w:eastAsia="zh-CN"/>
              </w:rPr>
              <w:t>3</w:t>
            </w:r>
          </w:p>
        </w:tc>
      </w:tr>
      <w:tr w14:paraId="57A3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81" w:type="dxa"/>
            <w:noWrap w:val="0"/>
            <w:vAlign w:val="center"/>
          </w:tcPr>
          <w:p w14:paraId="3F0CAA82">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5</w:t>
            </w:r>
          </w:p>
        </w:tc>
        <w:tc>
          <w:tcPr>
            <w:tcW w:w="1484" w:type="dxa"/>
            <w:noWrap w:val="0"/>
            <w:vAlign w:val="center"/>
          </w:tcPr>
          <w:p w14:paraId="714B09E8">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手持金属</w:t>
            </w:r>
          </w:p>
          <w:p w14:paraId="00747D05">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探测器</w:t>
            </w:r>
          </w:p>
        </w:tc>
        <w:tc>
          <w:tcPr>
            <w:tcW w:w="6838" w:type="dxa"/>
            <w:noWrap w:val="0"/>
            <w:vAlign w:val="center"/>
          </w:tcPr>
          <w:p w14:paraId="099783C1">
            <w:pPr>
              <w:pStyle w:val="18"/>
              <w:keepNext w:val="0"/>
              <w:keepLines w:val="0"/>
              <w:pageBreakBefore w:val="0"/>
              <w:widowControl w:val="0"/>
              <w:numPr>
                <w:ilvl w:val="0"/>
                <w:numId w:val="2"/>
              </w:numPr>
              <w:tabs>
                <w:tab w:val="clear" w:pos="7290"/>
              </w:tabs>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具有</w:t>
            </w:r>
            <w:r>
              <w:rPr>
                <w:rFonts w:hint="eastAsia" w:ascii="宋体" w:hAnsi="宋体" w:cs="宋体"/>
                <w:sz w:val="21"/>
                <w:szCs w:val="21"/>
                <w:u w:val="none"/>
                <w:vertAlign w:val="baseline"/>
                <w:lang w:val="en-US" w:eastAsia="zh-CN"/>
              </w:rPr>
              <w:t>明显的</w:t>
            </w:r>
            <w:r>
              <w:rPr>
                <w:rFonts w:hint="eastAsia" w:ascii="宋体" w:hAnsi="宋体" w:eastAsia="宋体" w:cs="宋体"/>
                <w:sz w:val="21"/>
                <w:szCs w:val="21"/>
                <w:u w:val="none"/>
                <w:vertAlign w:val="baseline"/>
                <w:lang w:val="en-US" w:eastAsia="zh-CN"/>
              </w:rPr>
              <w:t>指示灯显示，探测时红色指示灯亮，电压降低时</w:t>
            </w:r>
            <w:r>
              <w:rPr>
                <w:rFonts w:hint="eastAsia" w:ascii="宋体" w:hAnsi="宋体" w:cs="宋体"/>
                <w:sz w:val="21"/>
                <w:szCs w:val="21"/>
                <w:u w:val="none"/>
                <w:vertAlign w:val="baseline"/>
                <w:lang w:val="en-US" w:eastAsia="zh-CN"/>
              </w:rPr>
              <w:t>具有指示灯提醒功能</w:t>
            </w:r>
          </w:p>
          <w:p w14:paraId="130571ED">
            <w:pPr>
              <w:pStyle w:val="18"/>
              <w:keepNext w:val="0"/>
              <w:keepLines w:val="0"/>
              <w:pageBreakBefore w:val="0"/>
              <w:widowControl w:val="0"/>
              <w:numPr>
                <w:ilvl w:val="0"/>
                <w:numId w:val="2"/>
              </w:numPr>
              <w:tabs>
                <w:tab w:val="clear" w:pos="7290"/>
              </w:tabs>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2.具有声光和振动报警双重提示方式,准确快速判断金属位置</w:t>
            </w:r>
          </w:p>
          <w:p w14:paraId="566FEF84">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3.具有高低灵敏度调节按钮，根据实际需求调节探测灵敏度</w:t>
            </w:r>
          </w:p>
        </w:tc>
        <w:tc>
          <w:tcPr>
            <w:tcW w:w="546" w:type="dxa"/>
            <w:noWrap w:val="0"/>
            <w:vAlign w:val="center"/>
          </w:tcPr>
          <w:p w14:paraId="6AE99E36">
            <w:pPr>
              <w:pStyle w:val="18"/>
              <w:ind w:left="0" w:leftChars="0" w:firstLine="0" w:firstLineChars="0"/>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u w:val="none"/>
                <w:vertAlign w:val="baseline"/>
                <w:lang w:val="en-US" w:eastAsia="zh-CN"/>
              </w:rPr>
              <w:t>3</w:t>
            </w:r>
          </w:p>
        </w:tc>
      </w:tr>
    </w:tbl>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077F31D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w:t>
      </w:r>
      <w:r>
        <w:rPr>
          <w:rFonts w:hint="eastAsia" w:ascii="宋体" w:hAnsi="宋体" w:cs="宋体"/>
          <w:sz w:val="24"/>
          <w:szCs w:val="24"/>
          <w:lang w:val="en-US" w:eastAsia="zh-CN"/>
        </w:rPr>
        <w:t>货物接收</w:t>
      </w:r>
      <w:r>
        <w:rPr>
          <w:rFonts w:hint="eastAsia" w:ascii="宋体" w:hAnsi="宋体" w:eastAsia="宋体" w:cs="宋体"/>
          <w:sz w:val="24"/>
          <w:szCs w:val="24"/>
          <w:lang w:val="en-US" w:eastAsia="zh-CN"/>
        </w:rPr>
        <w:t>验收，</w:t>
      </w:r>
      <w:r>
        <w:rPr>
          <w:rFonts w:hint="eastAsia" w:ascii="宋体" w:hAnsi="宋体" w:cs="宋体"/>
          <w:sz w:val="24"/>
          <w:szCs w:val="24"/>
          <w:lang w:val="en-US" w:eastAsia="zh-CN"/>
        </w:rPr>
        <w:t>接收验收完成后供应商立即进行安装调试，安装调试完成后与招标人共同验收并</w:t>
      </w:r>
      <w:r>
        <w:rPr>
          <w:rFonts w:hint="eastAsia" w:ascii="宋体" w:hAnsi="宋体" w:eastAsia="宋体" w:cs="宋体"/>
          <w:sz w:val="24"/>
          <w:szCs w:val="24"/>
          <w:lang w:val="en-US" w:eastAsia="zh-CN"/>
        </w:rPr>
        <w:t>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w:t>
      </w:r>
      <w:r>
        <w:rPr>
          <w:rFonts w:hint="eastAsia" w:ascii="宋体" w:hAnsi="宋体" w:cs="宋体"/>
          <w:b/>
          <w:bCs/>
          <w:sz w:val="24"/>
          <w:szCs w:val="24"/>
          <w:highlight w:val="none"/>
          <w:u w:val="none"/>
          <w:lang w:val="en-US" w:eastAsia="zh-CN"/>
        </w:rPr>
        <w:t>30日历日。</w:t>
      </w:r>
    </w:p>
    <w:p w14:paraId="2677DCD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46BBE505">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5C57CA6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D48A8E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0"/>
        <w:gridCol w:w="855"/>
        <w:gridCol w:w="6800"/>
      </w:tblGrid>
      <w:tr w14:paraId="5987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3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分值</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40"/>
                <w:lang w:val="en-US" w:eastAsia="zh-CN" w:bidi="ar"/>
              </w:rPr>
              <w:t>评审细则</w:t>
            </w:r>
          </w:p>
        </w:tc>
      </w:tr>
      <w:tr w14:paraId="28EB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5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投标报价采用低价优先法计算，即满足招标文件要求且投标报价最低的报价为评审基准价，其价格分为满分。其他投标人的价格分统一按照下列公式计算：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投标报价得分=（评审基准价/投标报价）×30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计算分数时四舍五入取小数点后两位</w:t>
            </w:r>
          </w:p>
        </w:tc>
      </w:tr>
      <w:tr w14:paraId="4410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3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4F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72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1、供货的总体方案的合理性、服务的及时性等。供应商针对服务分期分批次供货的时间不确定性、采购内容分散、</w:t>
            </w:r>
            <w:r>
              <w:rPr>
                <w:rFonts w:hint="eastAsia" w:ascii="宋体" w:hAnsi="宋体" w:cs="宋体"/>
                <w:i w:val="0"/>
                <w:iCs w:val="0"/>
                <w:color w:val="000000"/>
                <w:kern w:val="0"/>
                <w:sz w:val="24"/>
                <w:szCs w:val="24"/>
                <w:u w:val="none"/>
                <w:lang w:val="en-US" w:eastAsia="zh-CN" w:bidi="ar"/>
              </w:rPr>
              <w:t>种类繁多</w:t>
            </w:r>
            <w:r>
              <w:rPr>
                <w:rFonts w:hint="eastAsia" w:ascii="宋体" w:hAnsi="宋体" w:eastAsia="宋体" w:cs="宋体"/>
                <w:i w:val="0"/>
                <w:iCs w:val="0"/>
                <w:color w:val="000000"/>
                <w:kern w:val="0"/>
                <w:sz w:val="24"/>
                <w:szCs w:val="24"/>
                <w:u w:val="none"/>
                <w:lang w:val="en-US" w:eastAsia="zh-CN" w:bidi="ar"/>
              </w:rPr>
              <w:t>等复杂情况，如何快速响应，按时按需完成供货及相关服务等要求，提出可行的解决方案。根据优劣程度最高得0-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2、应急保障及危机处置预案，根据可操作性、适宜组织实施得0-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3、拟投入人员情况能满足本项目供货配货要求，人员分工明确，得0-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tc>
      </w:tr>
      <w:tr w14:paraId="753F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A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产品技术参数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69E">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0B61">
            <w:pPr>
              <w:widowControl/>
              <w:spacing w:line="360" w:lineRule="auto"/>
              <w:jc w:val="left"/>
              <w:rPr>
                <w:rFonts w:hint="eastAsia" w:ascii="宋体" w:hAnsi="宋体" w:eastAsia="宋体" w:cs="宋体"/>
                <w:color w:val="000000"/>
                <w:kern w:val="0"/>
                <w:sz w:val="24"/>
                <w:szCs w:val="24"/>
                <w:highlight w:val="yellow"/>
                <w:lang w:eastAsia="zh-CN"/>
              </w:rPr>
            </w:pPr>
            <w:r>
              <w:rPr>
                <w:rFonts w:hint="eastAsia" w:ascii="宋体" w:hAnsi="宋体" w:cs="宋体"/>
                <w:color w:val="000000"/>
                <w:kern w:val="0"/>
                <w:sz w:val="24"/>
                <w:szCs w:val="24"/>
                <w:highlight w:val="yellow"/>
              </w:rPr>
              <w:t>投标人所投标产品完全满足招标文件技术参数要求的得30分。标“▲”项为重要参数，每负偏离一项扣</w:t>
            </w:r>
            <w:r>
              <w:rPr>
                <w:rFonts w:hint="eastAsia" w:ascii="宋体" w:hAnsi="宋体" w:cs="宋体"/>
                <w:color w:val="000000"/>
                <w:kern w:val="0"/>
                <w:sz w:val="24"/>
                <w:szCs w:val="24"/>
                <w:highlight w:val="yellow"/>
                <w:lang w:val="en-US" w:eastAsia="zh-CN"/>
              </w:rPr>
              <w:t>2</w:t>
            </w:r>
            <w:r>
              <w:rPr>
                <w:rFonts w:hint="eastAsia" w:ascii="宋体" w:hAnsi="宋体" w:cs="宋体"/>
                <w:color w:val="000000"/>
                <w:kern w:val="0"/>
                <w:sz w:val="24"/>
                <w:szCs w:val="24"/>
                <w:highlight w:val="yellow"/>
              </w:rPr>
              <w:t>分，扣完为止；其他参数为一般参数，每负偏离一项扣</w:t>
            </w:r>
            <w:r>
              <w:rPr>
                <w:rFonts w:hint="eastAsia" w:ascii="宋体" w:hAnsi="宋体" w:cs="宋体"/>
                <w:color w:val="000000"/>
                <w:kern w:val="0"/>
                <w:sz w:val="24"/>
                <w:szCs w:val="24"/>
                <w:highlight w:val="yellow"/>
                <w:lang w:val="en-US" w:eastAsia="zh-CN"/>
              </w:rPr>
              <w:t>1</w:t>
            </w:r>
            <w:r>
              <w:rPr>
                <w:rFonts w:hint="eastAsia" w:ascii="宋体" w:hAnsi="宋体" w:cs="宋体"/>
                <w:color w:val="000000"/>
                <w:kern w:val="0"/>
                <w:sz w:val="24"/>
                <w:szCs w:val="24"/>
                <w:highlight w:val="yellow"/>
              </w:rPr>
              <w:t>分；扣完为止。</w:t>
            </w:r>
          </w:p>
          <w:p w14:paraId="51A42A3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0"/>
                <w:sz w:val="24"/>
                <w:szCs w:val="24"/>
                <w:highlight w:val="yellow"/>
              </w:rPr>
              <w:t>备注：技术指标</w:t>
            </w:r>
            <w:r>
              <w:rPr>
                <w:rFonts w:hint="eastAsia" w:ascii="宋体" w:hAnsi="宋体" w:cs="宋体"/>
                <w:color w:val="000000"/>
                <w:kern w:val="0"/>
                <w:sz w:val="24"/>
                <w:szCs w:val="24"/>
                <w:highlight w:val="yellow"/>
                <w:lang w:val="en-US" w:eastAsia="zh-CN"/>
              </w:rPr>
              <w:t>需</w:t>
            </w:r>
            <w:r>
              <w:rPr>
                <w:rFonts w:hint="eastAsia" w:ascii="宋体" w:hAnsi="宋体" w:cs="宋体"/>
                <w:color w:val="000000"/>
                <w:kern w:val="0"/>
                <w:sz w:val="24"/>
                <w:szCs w:val="24"/>
                <w:highlight w:val="yellow"/>
              </w:rPr>
              <w:t>提供技术支持资料，请在偏离表“说明”栏中标明页码。</w:t>
            </w:r>
          </w:p>
        </w:tc>
      </w:tr>
      <w:tr w14:paraId="3D7A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72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质量保证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BE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1、货源渠道：投标人拟投产品进货渠道正规，质量有保证，提供相关证明并承诺所投产品进货渠道正规，无假货、水货、翻新货且无产权纠纷，按其响应程度得0-5分。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2、质量</w:t>
            </w:r>
            <w:r>
              <w:rPr>
                <w:rFonts w:hint="eastAsia" w:ascii="宋体" w:hAnsi="宋体" w:cs="宋体"/>
                <w:i w:val="0"/>
                <w:iCs w:val="0"/>
                <w:color w:val="000000"/>
                <w:kern w:val="0"/>
                <w:sz w:val="24"/>
                <w:szCs w:val="24"/>
                <w:u w:val="none"/>
                <w:lang w:val="en-US" w:eastAsia="zh-CN" w:bidi="ar"/>
              </w:rPr>
              <w:t>保证</w:t>
            </w:r>
            <w:r>
              <w:rPr>
                <w:rFonts w:hint="eastAsia" w:ascii="宋体" w:hAnsi="宋体" w:eastAsia="宋体" w:cs="宋体"/>
                <w:i w:val="0"/>
                <w:iCs w:val="0"/>
                <w:color w:val="000000"/>
                <w:kern w:val="0"/>
                <w:sz w:val="24"/>
                <w:szCs w:val="24"/>
                <w:u w:val="none"/>
                <w:lang w:val="en-US" w:eastAsia="zh-CN" w:bidi="ar"/>
              </w:rPr>
              <w:t>：产品质量</w:t>
            </w:r>
            <w:r>
              <w:rPr>
                <w:rFonts w:hint="eastAsia" w:ascii="宋体" w:hAnsi="宋体" w:cs="宋体"/>
                <w:i w:val="0"/>
                <w:iCs w:val="0"/>
                <w:color w:val="000000"/>
                <w:kern w:val="0"/>
                <w:sz w:val="24"/>
                <w:szCs w:val="24"/>
                <w:u w:val="none"/>
                <w:lang w:val="en-US" w:eastAsia="zh-CN" w:bidi="ar"/>
              </w:rPr>
              <w:t>合格</w:t>
            </w:r>
            <w:r>
              <w:rPr>
                <w:rFonts w:hint="eastAsia" w:ascii="宋体" w:hAnsi="宋体" w:eastAsia="宋体" w:cs="宋体"/>
                <w:i w:val="0"/>
                <w:iCs w:val="0"/>
                <w:color w:val="000000"/>
                <w:kern w:val="0"/>
                <w:sz w:val="24"/>
                <w:szCs w:val="24"/>
                <w:u w:val="none"/>
                <w:lang w:val="en-US" w:eastAsia="zh-CN" w:bidi="ar"/>
              </w:rPr>
              <w:t>，符合招标文件要求并符合相关国家标准和行业标准，按其响应程度得0-5分。</w:t>
            </w:r>
          </w:p>
        </w:tc>
      </w:tr>
      <w:tr w14:paraId="145C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E2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E2E9">
            <w:pPr>
              <w:keepNext w:val="0"/>
              <w:keepLines w:val="0"/>
              <w:widowControl/>
              <w:suppressLineNumbers w:val="0"/>
              <w:spacing w:line="360" w:lineRule="auto"/>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根据投标人的售后服务方案</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包括但不限于</w:t>
            </w:r>
            <w:r>
              <w:rPr>
                <w:rFonts w:hint="eastAsia" w:ascii="宋体" w:hAnsi="宋体" w:cs="宋体"/>
                <w:i w:val="0"/>
                <w:iCs w:val="0"/>
                <w:color w:val="000000"/>
                <w:kern w:val="0"/>
                <w:sz w:val="24"/>
                <w:szCs w:val="24"/>
                <w:u w:val="none"/>
                <w:lang w:val="en-US" w:eastAsia="zh-CN" w:bidi="ar"/>
              </w:rPr>
              <w:t>：</w:t>
            </w:r>
          </w:p>
          <w:p w14:paraId="14F96603">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售后服务标准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措施</w:t>
            </w:r>
            <w:r>
              <w:rPr>
                <w:rFonts w:hint="eastAsia" w:ascii="宋体" w:hAnsi="宋体" w:cs="宋体"/>
                <w:i w:val="0"/>
                <w:iCs w:val="0"/>
                <w:color w:val="000000"/>
                <w:kern w:val="0"/>
                <w:sz w:val="24"/>
                <w:szCs w:val="24"/>
                <w:u w:val="none"/>
                <w:lang w:val="en-US" w:eastAsia="zh-CN" w:bidi="ar"/>
              </w:rPr>
              <w:t>以及响应时间（0-4分）</w:t>
            </w:r>
            <w:r>
              <w:rPr>
                <w:rFonts w:hint="eastAsia" w:ascii="宋体" w:hAnsi="宋体" w:eastAsia="宋体" w:cs="宋体"/>
                <w:i w:val="0"/>
                <w:iCs w:val="0"/>
                <w:color w:val="000000"/>
                <w:kern w:val="0"/>
                <w:sz w:val="24"/>
                <w:szCs w:val="24"/>
                <w:u w:val="none"/>
                <w:lang w:val="en-US" w:eastAsia="zh-CN" w:bidi="ar"/>
              </w:rPr>
              <w:t>；</w:t>
            </w:r>
          </w:p>
          <w:p w14:paraId="21A7D6E6">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质保期</w:t>
            </w:r>
            <w:r>
              <w:rPr>
                <w:rFonts w:hint="eastAsia" w:ascii="宋体" w:hAnsi="宋体" w:cs="宋体"/>
                <w:i w:val="0"/>
                <w:iCs w:val="0"/>
                <w:color w:val="000000"/>
                <w:kern w:val="0"/>
                <w:sz w:val="24"/>
                <w:szCs w:val="24"/>
                <w:u w:val="none"/>
                <w:lang w:val="en-US" w:eastAsia="zh-CN" w:bidi="ar"/>
              </w:rPr>
              <w:t>（0-5分）：至少1年，每增加一年得1分；</w:t>
            </w:r>
          </w:p>
          <w:p w14:paraId="1BE4A5F0">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质保期满后承诺</w:t>
            </w:r>
            <w:r>
              <w:rPr>
                <w:rFonts w:hint="eastAsia" w:ascii="宋体" w:hAnsi="宋体" w:cs="宋体"/>
                <w:i w:val="0"/>
                <w:iCs w:val="0"/>
                <w:color w:val="000000"/>
                <w:kern w:val="0"/>
                <w:sz w:val="24"/>
                <w:szCs w:val="24"/>
                <w:u w:val="none"/>
                <w:lang w:val="en-US" w:eastAsia="zh-CN" w:bidi="ar"/>
              </w:rPr>
              <w:t>（0-3分）</w:t>
            </w:r>
            <w:r>
              <w:rPr>
                <w:rFonts w:hint="eastAsia" w:ascii="宋体" w:hAnsi="宋体" w:eastAsia="宋体" w:cs="宋体"/>
                <w:i w:val="0"/>
                <w:iCs w:val="0"/>
                <w:color w:val="000000"/>
                <w:kern w:val="0"/>
                <w:sz w:val="24"/>
                <w:szCs w:val="24"/>
                <w:u w:val="none"/>
                <w:lang w:val="en-US" w:eastAsia="zh-CN" w:bidi="ar"/>
              </w:rPr>
              <w:t>；</w:t>
            </w:r>
          </w:p>
          <w:p w14:paraId="206B3267">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其他承诺（0-3分）；</w:t>
            </w:r>
          </w:p>
        </w:tc>
      </w:tr>
      <w:tr w14:paraId="3BF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2E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1C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8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投标人2021年</w:t>
            </w: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月1日以来同类业绩（以合同签订时间为准），每份合同得1分，最高得5分。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投标人未按要求提供合同、或提供的合同字迹模糊无法辨识的，该笔业绩均不予计分。同类业绩以评标委员会集体判定为准。</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成交供货商候选人的确定标准"/>
      <w:bookmarkStart w:id="6" w:name="_Ref46730701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5865A195">
      <w:pPr>
        <w:rPr>
          <w:rFonts w:hint="eastAsia" w:ascii="宋体" w:hAnsi="宋体" w:eastAsia="宋体" w:cs="宋体"/>
          <w:b/>
          <w:kern w:val="2"/>
          <w:sz w:val="32"/>
          <w:szCs w:val="32"/>
          <w:highlight w:val="none"/>
          <w:lang w:val="en-US" w:eastAsia="zh-CN" w:bidi="ar-SA"/>
        </w:rPr>
      </w:pP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5B451782">
      <w:pPr>
        <w:spacing w:line="340" w:lineRule="exact"/>
        <w:ind w:firstLine="480" w:firstLineChars="200"/>
        <w:rPr>
          <w:rFonts w:hint="eastAsia"/>
          <w:sz w:val="24"/>
          <w:u w:val="single"/>
        </w:rPr>
      </w:pPr>
      <w:r>
        <w:rPr>
          <w:rFonts w:hint="eastAsia"/>
          <w:sz w:val="24"/>
        </w:rPr>
        <w:t>甲、乙双方基于公平、公正、平等的原则，依据《中华人民共和国民法典》之相关规定，现经甲、乙双方友好协商，就甲方购买乙方产品设备事宜，达成以下合同条款：</w:t>
      </w:r>
    </w:p>
    <w:p w14:paraId="1FCD898F">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第一条：</w:t>
      </w:r>
      <w:r>
        <w:rPr>
          <w:rFonts w:hint="eastAsia" w:ascii="宋体" w:hAnsi="宋体" w:eastAsia="宋体" w:cs="宋体"/>
          <w:b/>
          <w:bCs/>
          <w:sz w:val="24"/>
          <w:szCs w:val="24"/>
          <w:lang w:eastAsia="zh-CN"/>
        </w:rPr>
        <w:t>产品信息：</w:t>
      </w:r>
    </w:p>
    <w:tbl>
      <w:tblPr>
        <w:tblStyle w:val="20"/>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126"/>
        <w:gridCol w:w="851"/>
        <w:gridCol w:w="850"/>
        <w:gridCol w:w="1985"/>
        <w:gridCol w:w="1701"/>
      </w:tblGrid>
      <w:tr w14:paraId="42BE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11" w:type="dxa"/>
            <w:noWrap w:val="0"/>
            <w:vAlign w:val="top"/>
          </w:tcPr>
          <w:p w14:paraId="46C058CE">
            <w:pPr>
              <w:spacing w:line="360" w:lineRule="auto"/>
              <w:jc w:val="center"/>
              <w:rPr>
                <w:rFonts w:hint="eastAsia"/>
                <w:b/>
                <w:sz w:val="24"/>
              </w:rPr>
            </w:pPr>
            <w:r>
              <w:rPr>
                <w:rFonts w:hint="eastAsia"/>
                <w:b/>
                <w:sz w:val="24"/>
              </w:rPr>
              <w:t>产品名称</w:t>
            </w:r>
          </w:p>
        </w:tc>
        <w:tc>
          <w:tcPr>
            <w:tcW w:w="2126" w:type="dxa"/>
            <w:noWrap w:val="0"/>
            <w:vAlign w:val="top"/>
          </w:tcPr>
          <w:p w14:paraId="61EA2085">
            <w:pPr>
              <w:spacing w:line="360" w:lineRule="auto"/>
              <w:jc w:val="center"/>
              <w:rPr>
                <w:rFonts w:hint="eastAsia"/>
                <w:b/>
                <w:sz w:val="24"/>
              </w:rPr>
            </w:pPr>
            <w:r>
              <w:rPr>
                <w:rFonts w:hint="eastAsia"/>
                <w:b/>
                <w:sz w:val="24"/>
              </w:rPr>
              <w:t>品牌型号</w:t>
            </w:r>
          </w:p>
        </w:tc>
        <w:tc>
          <w:tcPr>
            <w:tcW w:w="851" w:type="dxa"/>
            <w:noWrap w:val="0"/>
            <w:vAlign w:val="top"/>
          </w:tcPr>
          <w:p w14:paraId="24D347A9">
            <w:pPr>
              <w:spacing w:line="360" w:lineRule="auto"/>
              <w:jc w:val="center"/>
              <w:rPr>
                <w:rFonts w:hint="eastAsia"/>
                <w:b/>
                <w:sz w:val="24"/>
              </w:rPr>
            </w:pPr>
            <w:r>
              <w:rPr>
                <w:rFonts w:hint="eastAsia"/>
                <w:b/>
                <w:sz w:val="24"/>
              </w:rPr>
              <w:t>单位</w:t>
            </w:r>
          </w:p>
        </w:tc>
        <w:tc>
          <w:tcPr>
            <w:tcW w:w="850" w:type="dxa"/>
            <w:noWrap w:val="0"/>
            <w:vAlign w:val="top"/>
          </w:tcPr>
          <w:p w14:paraId="34718C58">
            <w:pPr>
              <w:spacing w:line="360" w:lineRule="auto"/>
              <w:jc w:val="center"/>
              <w:rPr>
                <w:rFonts w:hint="eastAsia"/>
                <w:b/>
                <w:sz w:val="24"/>
              </w:rPr>
            </w:pPr>
            <w:r>
              <w:rPr>
                <w:rFonts w:hint="eastAsia"/>
                <w:b/>
                <w:sz w:val="24"/>
              </w:rPr>
              <w:t>数量</w:t>
            </w:r>
          </w:p>
        </w:tc>
        <w:tc>
          <w:tcPr>
            <w:tcW w:w="1985" w:type="dxa"/>
            <w:noWrap w:val="0"/>
            <w:vAlign w:val="top"/>
          </w:tcPr>
          <w:p w14:paraId="5647CBA6">
            <w:pPr>
              <w:spacing w:line="360" w:lineRule="auto"/>
              <w:jc w:val="center"/>
              <w:rPr>
                <w:rFonts w:hint="eastAsia"/>
                <w:b/>
                <w:sz w:val="24"/>
              </w:rPr>
            </w:pPr>
            <w:r>
              <w:rPr>
                <w:rFonts w:hint="eastAsia"/>
                <w:b/>
                <w:sz w:val="24"/>
              </w:rPr>
              <w:t>单价（人民币）</w:t>
            </w:r>
          </w:p>
        </w:tc>
        <w:tc>
          <w:tcPr>
            <w:tcW w:w="1701" w:type="dxa"/>
            <w:noWrap w:val="0"/>
            <w:vAlign w:val="top"/>
          </w:tcPr>
          <w:p w14:paraId="49EE8CC0">
            <w:pPr>
              <w:spacing w:line="360" w:lineRule="auto"/>
              <w:jc w:val="center"/>
              <w:rPr>
                <w:rFonts w:hint="eastAsia"/>
                <w:b/>
                <w:sz w:val="24"/>
              </w:rPr>
            </w:pPr>
            <w:r>
              <w:rPr>
                <w:rFonts w:hint="eastAsia"/>
                <w:b/>
                <w:sz w:val="24"/>
              </w:rPr>
              <w:t>总价（人民币）</w:t>
            </w:r>
          </w:p>
        </w:tc>
      </w:tr>
      <w:tr w14:paraId="4FE2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11" w:type="dxa"/>
            <w:noWrap w:val="0"/>
            <w:vAlign w:val="center"/>
          </w:tcPr>
          <w:p w14:paraId="65B8C134">
            <w:pPr>
              <w:spacing w:line="360" w:lineRule="auto"/>
              <w:jc w:val="center"/>
              <w:rPr>
                <w:rFonts w:hint="eastAsia" w:eastAsia="宋体"/>
                <w:sz w:val="24"/>
                <w:lang w:eastAsia="zh-CN"/>
              </w:rPr>
            </w:pPr>
            <w:r>
              <w:rPr>
                <w:rFonts w:hint="eastAsia"/>
                <w:sz w:val="24"/>
                <w:lang w:val="en-US" w:eastAsia="zh-CN"/>
              </w:rPr>
              <w:t xml:space="preserve"> </w:t>
            </w:r>
          </w:p>
        </w:tc>
        <w:tc>
          <w:tcPr>
            <w:tcW w:w="2126" w:type="dxa"/>
            <w:noWrap w:val="0"/>
            <w:vAlign w:val="center"/>
          </w:tcPr>
          <w:p w14:paraId="70751C9E">
            <w:pPr>
              <w:spacing w:line="360" w:lineRule="auto"/>
              <w:jc w:val="center"/>
              <w:rPr>
                <w:rFonts w:hint="eastAsia" w:eastAsia="宋体"/>
                <w:sz w:val="24"/>
                <w:lang w:eastAsia="zh-CN"/>
              </w:rPr>
            </w:pPr>
            <w:r>
              <w:rPr>
                <w:rFonts w:hint="eastAsia"/>
                <w:sz w:val="24"/>
                <w:lang w:val="en-US" w:eastAsia="zh-CN"/>
              </w:rPr>
              <w:t xml:space="preserve"> </w:t>
            </w:r>
          </w:p>
        </w:tc>
        <w:tc>
          <w:tcPr>
            <w:tcW w:w="851" w:type="dxa"/>
            <w:noWrap w:val="0"/>
            <w:vAlign w:val="center"/>
          </w:tcPr>
          <w:p w14:paraId="0392699A">
            <w:pPr>
              <w:spacing w:line="360" w:lineRule="auto"/>
              <w:jc w:val="center"/>
              <w:rPr>
                <w:rFonts w:hint="eastAsia" w:eastAsia="宋体"/>
                <w:sz w:val="24"/>
                <w:lang w:eastAsia="zh-CN"/>
              </w:rPr>
            </w:pPr>
            <w:r>
              <w:rPr>
                <w:rFonts w:hint="eastAsia"/>
                <w:sz w:val="24"/>
                <w:lang w:val="en-US" w:eastAsia="zh-CN"/>
              </w:rPr>
              <w:t xml:space="preserve"> </w:t>
            </w:r>
          </w:p>
        </w:tc>
        <w:tc>
          <w:tcPr>
            <w:tcW w:w="850" w:type="dxa"/>
            <w:noWrap w:val="0"/>
            <w:vAlign w:val="center"/>
          </w:tcPr>
          <w:p w14:paraId="00BD3D52">
            <w:pPr>
              <w:spacing w:line="360" w:lineRule="auto"/>
              <w:ind w:firstLine="240" w:firstLineChars="100"/>
              <w:rPr>
                <w:rFonts w:hint="eastAsia" w:eastAsia="宋体"/>
                <w:sz w:val="24"/>
                <w:lang w:val="en-US" w:eastAsia="zh-CN"/>
              </w:rPr>
            </w:pPr>
            <w:r>
              <w:rPr>
                <w:rFonts w:hint="eastAsia"/>
                <w:sz w:val="24"/>
                <w:lang w:val="en-US" w:eastAsia="zh-CN"/>
              </w:rPr>
              <w:t xml:space="preserve"> </w:t>
            </w:r>
          </w:p>
        </w:tc>
        <w:tc>
          <w:tcPr>
            <w:tcW w:w="1985" w:type="dxa"/>
            <w:noWrap w:val="0"/>
            <w:vAlign w:val="center"/>
          </w:tcPr>
          <w:p w14:paraId="2057B762">
            <w:pPr>
              <w:spacing w:line="360" w:lineRule="auto"/>
              <w:jc w:val="center"/>
              <w:rPr>
                <w:rFonts w:hint="eastAsia"/>
                <w:sz w:val="24"/>
              </w:rPr>
            </w:pPr>
            <w:r>
              <w:rPr>
                <w:rFonts w:hint="eastAsia"/>
                <w:sz w:val="24"/>
                <w:lang w:val="en-US" w:eastAsia="zh-CN"/>
              </w:rPr>
              <w:t xml:space="preserve"> </w:t>
            </w:r>
          </w:p>
        </w:tc>
        <w:tc>
          <w:tcPr>
            <w:tcW w:w="1701" w:type="dxa"/>
            <w:noWrap w:val="0"/>
            <w:vAlign w:val="center"/>
          </w:tcPr>
          <w:p w14:paraId="0747C71A">
            <w:pPr>
              <w:spacing w:line="360" w:lineRule="auto"/>
              <w:jc w:val="center"/>
              <w:rPr>
                <w:rFonts w:hint="eastAsia"/>
                <w:sz w:val="24"/>
              </w:rPr>
            </w:pPr>
            <w:r>
              <w:rPr>
                <w:rFonts w:hint="eastAsia"/>
                <w:sz w:val="24"/>
                <w:lang w:val="en-US" w:eastAsia="zh-CN"/>
              </w:rPr>
              <w:t xml:space="preserve"> </w:t>
            </w:r>
          </w:p>
        </w:tc>
      </w:tr>
      <w:tr w14:paraId="0CD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24" w:type="dxa"/>
            <w:gridSpan w:val="6"/>
            <w:noWrap w:val="0"/>
            <w:vAlign w:val="top"/>
          </w:tcPr>
          <w:p w14:paraId="2FE9ACE3">
            <w:pPr>
              <w:spacing w:line="360" w:lineRule="auto"/>
              <w:rPr>
                <w:rFonts w:hint="eastAsia" w:eastAsia="宋体"/>
                <w:sz w:val="24"/>
                <w:lang w:val="en-US" w:eastAsia="zh-CN"/>
              </w:rPr>
            </w:pPr>
            <w:r>
              <w:rPr>
                <w:rFonts w:hint="eastAsia"/>
                <w:sz w:val="24"/>
              </w:rPr>
              <w:t>合计（大写）：</w:t>
            </w:r>
            <w:r>
              <w:rPr>
                <w:rFonts w:hint="eastAsia"/>
                <w:sz w:val="24"/>
                <w:lang w:val="en-US" w:eastAsia="zh-CN"/>
              </w:rPr>
              <w:t xml:space="preserve"> </w:t>
            </w:r>
            <w:r>
              <w:rPr>
                <w:rFonts w:hint="eastAsia"/>
                <w:sz w:val="24"/>
              </w:rPr>
              <w:t>；      （小写）：￥</w:t>
            </w:r>
            <w:r>
              <w:rPr>
                <w:rFonts w:hint="eastAsia"/>
                <w:sz w:val="24"/>
                <w:lang w:val="en-US" w:eastAsia="zh-CN"/>
              </w:rPr>
              <w:t xml:space="preserve"> </w:t>
            </w:r>
          </w:p>
        </w:tc>
      </w:tr>
      <w:tr w14:paraId="72DA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24" w:type="dxa"/>
            <w:gridSpan w:val="6"/>
            <w:noWrap w:val="0"/>
            <w:vAlign w:val="top"/>
          </w:tcPr>
          <w:p w14:paraId="44239EA8">
            <w:pPr>
              <w:widowControl/>
              <w:spacing w:line="360" w:lineRule="auto"/>
              <w:jc w:val="left"/>
              <w:rPr>
                <w:rFonts w:hint="eastAsia" w:eastAsia="宋体"/>
                <w:sz w:val="24"/>
                <w:lang w:eastAsia="zh-CN"/>
              </w:rPr>
            </w:pPr>
            <w:r>
              <w:rPr>
                <w:rFonts w:hint="eastAsia"/>
                <w:sz w:val="24"/>
              </w:rPr>
              <w:t xml:space="preserve"> 备注：</w:t>
            </w:r>
            <w:r>
              <w:rPr>
                <w:rFonts w:hint="eastAsia"/>
                <w:sz w:val="24"/>
                <w:lang w:val="en-US" w:eastAsia="zh-CN"/>
              </w:rPr>
              <w:t xml:space="preserve"> </w:t>
            </w:r>
          </w:p>
          <w:p w14:paraId="42ED6539">
            <w:pPr>
              <w:widowControl/>
              <w:spacing w:line="360" w:lineRule="auto"/>
              <w:jc w:val="left"/>
              <w:rPr>
                <w:rFonts w:hint="eastAsia"/>
                <w:sz w:val="24"/>
              </w:rPr>
            </w:pPr>
            <w:r>
              <w:rPr>
                <w:rFonts w:hint="eastAsia"/>
                <w:sz w:val="24"/>
              </w:rPr>
              <w:t xml:space="preserve">                                                                     </w:t>
            </w:r>
          </w:p>
        </w:tc>
      </w:tr>
    </w:tbl>
    <w:p w14:paraId="25B84944">
      <w:pPr>
        <w:spacing w:line="360" w:lineRule="auto"/>
        <w:ind w:firstLine="480" w:firstLineChars="200"/>
        <w:rPr>
          <w:rFonts w:hint="eastAsia" w:ascii="宋体" w:hAnsi="宋体" w:eastAsia="宋体" w:cs="宋体"/>
          <w:sz w:val="24"/>
          <w:szCs w:val="24"/>
          <w:lang w:eastAsia="zh-CN"/>
        </w:rPr>
      </w:pPr>
      <w:r>
        <w:rPr>
          <w:rFonts w:hint="eastAsia"/>
          <w:sz w:val="24"/>
        </w:rPr>
        <w:t>总金额：</w:t>
      </w:r>
      <w:r>
        <w:rPr>
          <w:rFonts w:hint="eastAsia"/>
          <w:b/>
          <w:bCs/>
          <w:sz w:val="24"/>
          <w:u w:val="single"/>
          <w:lang w:val="en-US" w:eastAsia="zh-CN"/>
        </w:rPr>
        <w:t xml:space="preserve">                 </w:t>
      </w:r>
      <w:r>
        <w:rPr>
          <w:rFonts w:hint="eastAsia"/>
          <w:b/>
          <w:bCs/>
          <w:sz w:val="24"/>
          <w:u w:val="single"/>
        </w:rPr>
        <w:t xml:space="preserve"> </w:t>
      </w:r>
      <w:r>
        <w:rPr>
          <w:rFonts w:hint="eastAsia"/>
          <w:sz w:val="24"/>
          <w:lang w:eastAsia="zh-CN"/>
        </w:rPr>
        <w:t>（</w:t>
      </w:r>
      <w:r>
        <w:rPr>
          <w:rFonts w:hint="eastAsia"/>
          <w:sz w:val="24"/>
        </w:rPr>
        <w:t>小写：￥</w:t>
      </w:r>
      <w:r>
        <w:rPr>
          <w:rFonts w:hint="eastAsia"/>
          <w:sz w:val="24"/>
          <w:lang w:val="en-US" w:eastAsia="zh-CN"/>
        </w:rPr>
        <w:t xml:space="preserve">  </w:t>
      </w:r>
      <w:r>
        <w:rPr>
          <w:rFonts w:hint="eastAsia"/>
          <w:sz w:val="24"/>
          <w:lang w:eastAsia="zh-CN"/>
        </w:rPr>
        <w:t>）</w:t>
      </w:r>
    </w:p>
    <w:p w14:paraId="23C29CF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790652A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第二条：交货地点：</w:t>
      </w:r>
    </w:p>
    <w:p w14:paraId="623302A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2BA7FBA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第三条：交货时间：</w:t>
      </w:r>
    </w:p>
    <w:p w14:paraId="1E3442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合同签订之日起</w:t>
      </w:r>
      <w:r>
        <w:rPr>
          <w:rFonts w:hint="eastAsia" w:ascii="宋体" w:hAnsi="宋体" w:cs="宋体"/>
          <w:sz w:val="24"/>
          <w:szCs w:val="24"/>
          <w:lang w:val="en-US" w:eastAsia="zh-CN"/>
        </w:rPr>
        <w:t>30个日历日内完成供货及安装。</w:t>
      </w:r>
    </w:p>
    <w:p w14:paraId="114C078F">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第四条</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甲方指定收货人</w:t>
      </w:r>
      <w:r>
        <w:rPr>
          <w:rFonts w:hint="eastAsia" w:ascii="宋体" w:hAnsi="宋体" w:eastAsia="宋体" w:cs="宋体"/>
          <w:b/>
          <w:bCs/>
          <w:sz w:val="24"/>
          <w:szCs w:val="24"/>
          <w:lang w:eastAsia="zh-CN"/>
        </w:rPr>
        <w:t>：</w:t>
      </w:r>
    </w:p>
    <w:p w14:paraId="2A1424F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西咸院区：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p>
    <w:p w14:paraId="00CF84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根据使用需要，甲方如需提前或推迟收货，甲方应当提前电话通知乙方，乙方应无条件配合，不得收取仓储费等任何费用。</w:t>
      </w:r>
    </w:p>
    <w:p w14:paraId="25C27FD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第五条：货款结算方式：</w:t>
      </w:r>
    </w:p>
    <w:p w14:paraId="52C0F39E">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货到安装验收合格后支付全部货款的</w:t>
      </w:r>
      <w:r>
        <w:rPr>
          <w:rFonts w:hint="eastAsia" w:ascii="宋体" w:hAnsi="宋体" w:eastAsia="宋体" w:cs="宋体"/>
          <w:b w:val="0"/>
          <w:bCs w:val="0"/>
          <w:sz w:val="24"/>
          <w:szCs w:val="24"/>
          <w:lang w:val="en-US" w:eastAsia="zh-CN"/>
        </w:rPr>
        <w:t>90</w:t>
      </w:r>
      <w:r>
        <w:rPr>
          <w:rFonts w:hint="eastAsia" w:ascii="宋体" w:hAnsi="宋体" w:eastAsia="宋体" w:cs="宋体"/>
          <w:b w:val="0"/>
          <w:bCs w:val="0"/>
          <w:sz w:val="24"/>
          <w:szCs w:val="24"/>
          <w:lang w:eastAsia="zh-CN"/>
        </w:rPr>
        <w:t xml:space="preserve"> %，</w:t>
      </w:r>
      <w:r>
        <w:rPr>
          <w:rFonts w:hint="eastAsia" w:ascii="宋体" w:hAnsi="宋体" w:eastAsia="宋体" w:cs="宋体"/>
          <w:sz w:val="24"/>
          <w:szCs w:val="24"/>
          <w:lang w:val="en-US" w:eastAsia="zh-CN"/>
        </w:rPr>
        <w:t>剩余总价款的</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﹪一年后进行支付。</w:t>
      </w:r>
    </w:p>
    <w:p w14:paraId="0122F47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付款前乙方一次性开具合同总价款发票。</w:t>
      </w:r>
    </w:p>
    <w:p w14:paraId="6A77D5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0533B55E">
      <w:pPr>
        <w:spacing w:line="360" w:lineRule="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eastAsia="宋体"/>
          <w:sz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5DD1C0A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号: </w:t>
      </w:r>
      <w:r>
        <w:rPr>
          <w:rFonts w:hint="eastAsia"/>
          <w:sz w:val="24"/>
          <w:u w:val="single"/>
          <w:lang w:val="en-US" w:eastAsia="zh-CN"/>
        </w:rPr>
        <w:t xml:space="preserve">                   </w:t>
      </w:r>
      <w:r>
        <w:rPr>
          <w:rFonts w:hint="eastAsia" w:ascii="宋体" w:hAnsi="宋体" w:eastAsia="宋体" w:cs="宋体"/>
          <w:sz w:val="24"/>
          <w:szCs w:val="24"/>
          <w:lang w:val="en-US" w:eastAsia="zh-CN"/>
        </w:rPr>
        <w:t xml:space="preserve">      </w:t>
      </w:r>
    </w:p>
    <w:p w14:paraId="16ED654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行</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4862F1D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第六条：运输及风险：</w:t>
      </w:r>
    </w:p>
    <w:p w14:paraId="7FC104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0588C7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500E94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43569AF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4123B4C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货物验收及</w:t>
      </w:r>
      <w:r>
        <w:rPr>
          <w:rFonts w:hint="eastAsia" w:ascii="宋体" w:hAnsi="宋体" w:eastAsia="宋体" w:cs="宋体"/>
          <w:b/>
          <w:bCs/>
          <w:sz w:val="24"/>
          <w:szCs w:val="24"/>
        </w:rPr>
        <w:t>质量保证：</w:t>
      </w:r>
    </w:p>
    <w:p w14:paraId="0ADB80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1、乙方的产品质量应当符合国家行业规定的标准，并无任何瑕疵。</w:t>
      </w:r>
    </w:p>
    <w:p w14:paraId="0D9F2F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2、如交付品种、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"http://www.hudong.com/wiki/%E5%9E%8B%E5%8F%B7" \o "型号"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型号</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"http://www.hudong.com/wiki/%E8%A7%84%E6%A0%BC" \o "规格"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规格</w:t>
      </w:r>
      <w:r>
        <w:rPr>
          <w:rFonts w:hint="eastAsia" w:ascii="宋体" w:hAnsi="宋体" w:eastAsia="宋体" w:cs="宋体"/>
          <w:sz w:val="24"/>
          <w:szCs w:val="24"/>
        </w:rPr>
        <w:fldChar w:fldCharType="end"/>
      </w:r>
      <w:r>
        <w:rPr>
          <w:rFonts w:hint="eastAsia" w:ascii="宋体" w:hAnsi="宋体" w:eastAsia="宋体" w:cs="宋体"/>
          <w:sz w:val="24"/>
          <w:szCs w:val="24"/>
        </w:rPr>
        <w:t>不符合同约定的，由乙方负责退换，由此产生的一切费用及给甲方造成的相关损失由乙方全部承担并赔偿相应损失。</w:t>
      </w:r>
    </w:p>
    <w:p w14:paraId="4B886B87">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乙方按照甲方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highlight w:val="none"/>
          <w:lang w:val="en-US" w:eastAsia="zh-CN"/>
        </w:rPr>
        <w:t>，由双方共同对货物的包装、外观、数量、商标、型号、规格及性能等进行</w:t>
      </w:r>
      <w:r>
        <w:rPr>
          <w:rFonts w:hint="eastAsia" w:ascii="宋体" w:hAnsi="宋体" w:cs="宋体"/>
          <w:sz w:val="24"/>
          <w:szCs w:val="24"/>
          <w:highlight w:val="none"/>
          <w:lang w:val="en-US" w:eastAsia="zh-CN"/>
        </w:rPr>
        <w:t>货物接收</w:t>
      </w:r>
      <w:r>
        <w:rPr>
          <w:rFonts w:hint="eastAsia" w:ascii="宋体" w:hAnsi="宋体" w:eastAsia="宋体" w:cs="宋体"/>
          <w:sz w:val="24"/>
          <w:szCs w:val="24"/>
          <w:highlight w:val="none"/>
          <w:lang w:val="en-US" w:eastAsia="zh-CN"/>
        </w:rPr>
        <w:t>验收，</w:t>
      </w:r>
      <w:r>
        <w:rPr>
          <w:rFonts w:hint="eastAsia" w:ascii="宋体" w:hAnsi="宋体" w:cs="宋体"/>
          <w:sz w:val="24"/>
          <w:szCs w:val="24"/>
          <w:highlight w:val="none"/>
          <w:lang w:val="en-US" w:eastAsia="zh-CN"/>
        </w:rPr>
        <w:t>并签署货物接收验收单；接收验收完成后供应商立即进行安装调试，安装调试完成后与招标人共同验收并</w:t>
      </w:r>
      <w:r>
        <w:rPr>
          <w:rFonts w:hint="eastAsia" w:ascii="宋体" w:hAnsi="宋体" w:eastAsia="宋体" w:cs="宋体"/>
          <w:sz w:val="24"/>
          <w:szCs w:val="24"/>
          <w:highlight w:val="none"/>
          <w:lang w:val="en-US" w:eastAsia="zh-CN"/>
        </w:rPr>
        <w:t>签署验收单。如乙方未按约定到甲方指定地点验收货物的，应视为乙方对甲方单方验收的结果予以确认。</w:t>
      </w:r>
    </w:p>
    <w:p w14:paraId="5F9ED8F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验收标准：合同文本、合同附件、招标文件、投标文件；国内相应的标准、规范。验收时应提供的技术资料。</w:t>
      </w:r>
    </w:p>
    <w:p w14:paraId="5A194B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货物</w:t>
      </w:r>
      <w:r>
        <w:rPr>
          <w:rFonts w:hint="eastAsia" w:ascii="宋体" w:hAnsi="宋体" w:cs="宋体"/>
          <w:sz w:val="24"/>
          <w:szCs w:val="24"/>
          <w:lang w:val="en-US" w:eastAsia="zh-CN"/>
        </w:rPr>
        <w:t>接收</w:t>
      </w:r>
      <w:r>
        <w:rPr>
          <w:rFonts w:hint="eastAsia" w:ascii="宋体" w:hAnsi="宋体" w:eastAsia="宋体" w:cs="宋体"/>
          <w:sz w:val="24"/>
          <w:szCs w:val="24"/>
          <w:lang w:val="en-US" w:eastAsia="zh-CN"/>
        </w:rPr>
        <w:t>验收单仅证明乙方所提供的货物截至出具验收单之日时可以按合同要求予以接受，但不能视为乙方对货物存在的潜在缺陷责任的解除。此验收不作为对货物内在质量认定的依据。</w:t>
      </w:r>
    </w:p>
    <w:p w14:paraId="6EFECB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w:t>
      </w:r>
      <w:r>
        <w:rPr>
          <w:rFonts w:hint="eastAsia" w:ascii="宋体" w:hAnsi="宋体" w:eastAsia="宋体" w:cs="宋体"/>
          <w:sz w:val="24"/>
          <w:szCs w:val="24"/>
          <w:lang w:val="en-US" w:eastAsia="zh-CN"/>
        </w:rPr>
        <w:t>货物不符合国家标准和合同约定，乙方应按甲方要求进行调换，若</w:t>
      </w:r>
      <w:r>
        <w:rPr>
          <w:rFonts w:hint="eastAsia" w:ascii="宋体" w:hAnsi="宋体" w:eastAsia="宋体" w:cs="宋体"/>
          <w:sz w:val="24"/>
          <w:szCs w:val="24"/>
        </w:rPr>
        <w:t>不能</w:t>
      </w:r>
      <w:r>
        <w:rPr>
          <w:rFonts w:hint="eastAsia" w:ascii="宋体" w:hAnsi="宋体" w:eastAsia="宋体" w:cs="宋体"/>
          <w:sz w:val="24"/>
          <w:szCs w:val="24"/>
          <w:lang w:val="en-US" w:eastAsia="zh-CN"/>
        </w:rPr>
        <w:t>按时</w:t>
      </w:r>
      <w:r>
        <w:rPr>
          <w:rFonts w:hint="eastAsia" w:ascii="宋体" w:hAnsi="宋体" w:eastAsia="宋体" w:cs="宋体"/>
          <w:sz w:val="24"/>
          <w:szCs w:val="24"/>
        </w:rPr>
        <w:t>调换的，按不能交货处理，因此给甲方造成的所有经济损失乙方应予全额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赔偿。</w:t>
      </w:r>
    </w:p>
    <w:p w14:paraId="594C51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w:t>
      </w:r>
      <w:r>
        <w:rPr>
          <w:rFonts w:hint="eastAsia" w:ascii="宋体" w:hAnsi="宋体" w:eastAsia="宋体" w:cs="宋体"/>
          <w:sz w:val="24"/>
          <w:szCs w:val="24"/>
          <w:lang w:val="en-US" w:eastAsia="zh-CN"/>
        </w:rPr>
        <w:t>货物</w:t>
      </w:r>
      <w:r>
        <w:rPr>
          <w:rFonts w:hint="eastAsia" w:ascii="宋体" w:hAnsi="宋体" w:eastAsia="宋体" w:cs="宋体"/>
          <w:sz w:val="24"/>
          <w:szCs w:val="24"/>
        </w:rPr>
        <w:t>进场后，需要进行第三方检测、检验（试验）的，相关费用由乙方承担。检测、检验（试验）或货物验收不合格的，视为</w:t>
      </w:r>
      <w:r>
        <w:rPr>
          <w:rFonts w:hint="eastAsia" w:ascii="宋体" w:hAnsi="宋体" w:eastAsia="宋体" w:cs="宋体"/>
          <w:sz w:val="24"/>
          <w:szCs w:val="24"/>
          <w:lang w:val="en-US" w:eastAsia="zh-CN"/>
        </w:rPr>
        <w:t>货物</w:t>
      </w:r>
      <w:r>
        <w:rPr>
          <w:rFonts w:hint="eastAsia" w:ascii="宋体" w:hAnsi="宋体" w:eastAsia="宋体" w:cs="宋体"/>
          <w:sz w:val="24"/>
          <w:szCs w:val="24"/>
        </w:rPr>
        <w:t>交付未完成，乙方应承担迟延交货的违约责任。</w:t>
      </w:r>
    </w:p>
    <w:p w14:paraId="38C8B49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6、甲方依照法律规定或合同约定退货的，由乙方自行运离。如乙方在【3】日内不取回货物，视为乙方放弃货物所有权。甲方可在无需支付货款的条件下处置该货物，处置费用由乙方承担。</w:t>
      </w:r>
    </w:p>
    <w:p w14:paraId="038FCE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、如因该产品本身的质量原因而在使用过程中造成的任何医疗事故纠纷，由乙方全额负责赔偿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甲方因此遭遇索赔的，有权向乙方追偿</w:t>
      </w:r>
      <w:r>
        <w:rPr>
          <w:rFonts w:hint="eastAsia" w:ascii="宋体" w:hAnsi="宋体" w:eastAsia="宋体" w:cs="宋体"/>
          <w:sz w:val="24"/>
          <w:szCs w:val="24"/>
        </w:rPr>
        <w:t>。</w:t>
      </w:r>
    </w:p>
    <w:p w14:paraId="11EFB39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甲方因此遭遇索赔的，有权向乙方追偿</w:t>
      </w:r>
      <w:r>
        <w:rPr>
          <w:rFonts w:hint="eastAsia" w:ascii="宋体" w:hAnsi="宋体" w:eastAsia="宋体" w:cs="宋体"/>
          <w:sz w:val="24"/>
          <w:szCs w:val="24"/>
        </w:rPr>
        <w:t>。</w:t>
      </w:r>
    </w:p>
    <w:p w14:paraId="0AFD88A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第八条：违约责任：</w:t>
      </w:r>
    </w:p>
    <w:p w14:paraId="710210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1、乙方如不能</w:t>
      </w:r>
      <w:r>
        <w:rPr>
          <w:rFonts w:hint="eastAsia" w:ascii="宋体" w:hAnsi="宋体" w:eastAsia="宋体" w:cs="宋体"/>
          <w:sz w:val="24"/>
          <w:szCs w:val="24"/>
          <w:lang w:val="en-US" w:eastAsia="zh-CN"/>
        </w:rPr>
        <w:t>按</w:t>
      </w:r>
      <w:r>
        <w:rPr>
          <w:rFonts w:hint="eastAsia" w:ascii="宋体" w:hAnsi="宋体" w:eastAsia="宋体" w:cs="宋体"/>
          <w:sz w:val="24"/>
          <w:szCs w:val="24"/>
        </w:rPr>
        <w:t>时交货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w:t>
      </w:r>
      <w:r>
        <w:rPr>
          <w:rFonts w:hint="eastAsia" w:ascii="宋体" w:hAnsi="宋体" w:eastAsia="宋体" w:cs="宋体"/>
          <w:sz w:val="24"/>
          <w:szCs w:val="24"/>
        </w:rPr>
        <w:t>逾期</w:t>
      </w:r>
      <w:r>
        <w:rPr>
          <w:rFonts w:hint="eastAsia" w:ascii="宋体" w:hAnsi="宋体" w:eastAsia="宋体" w:cs="宋体"/>
          <w:sz w:val="24"/>
          <w:szCs w:val="24"/>
          <w:lang w:val="en-US" w:eastAsia="zh-CN"/>
        </w:rPr>
        <w:t>一日</w:t>
      </w:r>
      <w:r>
        <w:rPr>
          <w:rFonts w:hint="eastAsia" w:ascii="宋体" w:hAnsi="宋体" w:eastAsia="宋体" w:cs="宋体"/>
          <w:sz w:val="24"/>
          <w:szCs w:val="24"/>
        </w:rPr>
        <w:t>，应向甲方支付迟延履行的违约金，每日违约金按逾期交货货款金额万分之五计算，</w:t>
      </w:r>
      <w:r>
        <w:rPr>
          <w:rFonts w:hint="eastAsia" w:ascii="宋体" w:hAnsi="宋体" w:eastAsia="宋体" w:cs="宋体"/>
          <w:sz w:val="24"/>
          <w:szCs w:val="24"/>
          <w:lang w:val="en-US" w:eastAsia="zh-CN"/>
        </w:rPr>
        <w:t>乙方逾期交货超过【7】日，视为乙方根本违约，甲方有权单方解除合同，解除合同的通知送达乙方之日视为合同已解除，同时乙方</w:t>
      </w:r>
      <w:r>
        <w:rPr>
          <w:rFonts w:hint="eastAsia" w:ascii="宋体" w:hAnsi="宋体" w:eastAsia="宋体" w:cs="宋体"/>
          <w:sz w:val="24"/>
          <w:szCs w:val="24"/>
        </w:rPr>
        <w:t>应向甲方支付本合同总价款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01D9BA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2、如交付的产品数量、品种、规格、质量不符合国家标准和合同约定的由乙方负责包换、退货，并承担由此给甲方造成的所有经济损失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乙方退换货【2】次后货物仍不符合国家标准和合同约定或拒绝退换货的，视为乙方根本违约，甲方有权单方解除合同，解除合同的通知送达乙方之日视为合同已解除，同时乙方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sz w:val="24"/>
          <w:szCs w:val="24"/>
        </w:rPr>
        <w:t>应向甲方支付本合同总价款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21E660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3、自本合同签订之日起，若甲方无故中途退货，应向乙方支付退货部分货款的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4A4B4DA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4、甲方应当按时向乙方支付货款，逾期付款的，应向乙方支付迟延履行的违约金，每日违约金按逾期付款金额的万分之贰计算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因乙方迟延提供发票导致甲方顺延付款期限的，甲方不承担违约责任</w:t>
      </w:r>
      <w:r>
        <w:rPr>
          <w:rFonts w:hint="eastAsia" w:ascii="宋体" w:hAnsi="宋体" w:eastAsia="宋体" w:cs="宋体"/>
          <w:sz w:val="24"/>
          <w:szCs w:val="24"/>
        </w:rPr>
        <w:t>。</w:t>
      </w:r>
    </w:p>
    <w:p w14:paraId="600377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5、合同约定的其他违约条款。</w:t>
      </w:r>
    </w:p>
    <w:p w14:paraId="37B4CDD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第九条：不可抗力：</w:t>
      </w:r>
    </w:p>
    <w:p w14:paraId="19E409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3178E8B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第十条：通知：</w:t>
      </w:r>
    </w:p>
    <w:p w14:paraId="5975C4C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24D6C236">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甲方：</w:t>
      </w:r>
      <w:r>
        <w:rPr>
          <w:rFonts w:hint="eastAsia" w:ascii="宋体" w:hAnsi="宋体" w:eastAsia="宋体" w:cs="宋体"/>
          <w:sz w:val="24"/>
          <w:szCs w:val="24"/>
        </w:rPr>
        <w:t>陕西中医药大学第二附属医院</w:t>
      </w:r>
      <w:r>
        <w:rPr>
          <w:rFonts w:hint="eastAsia" w:ascii="宋体" w:hAnsi="宋体" w:cs="宋体"/>
          <w:sz w:val="24"/>
          <w:szCs w:val="24"/>
          <w:lang w:val="en-US" w:eastAsia="zh-CN"/>
        </w:rPr>
        <w:t xml:space="preserve">               </w:t>
      </w:r>
    </w:p>
    <w:p w14:paraId="583F2D3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地址：陕西省咸阳市秦都区渭阳西路5号  </w:t>
      </w:r>
    </w:p>
    <w:p w14:paraId="4AFC134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eastAsia="宋体"/>
          <w:b w:val="0"/>
          <w:bCs w:val="0"/>
          <w:color w:val="auto"/>
          <w:sz w:val="24"/>
          <w:lang w:val="en-US" w:eastAsia="zh-CN"/>
        </w:rPr>
        <w:t xml:space="preserve"> </w:t>
      </w:r>
      <w:r>
        <w:rPr>
          <w:rFonts w:hint="eastAsia" w:ascii="宋体" w:hAnsi="宋体" w:eastAsia="宋体" w:cs="宋体"/>
          <w:sz w:val="24"/>
          <w:szCs w:val="24"/>
          <w:lang w:val="en-US" w:eastAsia="zh-CN"/>
        </w:rPr>
        <w:t xml:space="preserve">            联系电话： </w:t>
      </w:r>
    </w:p>
    <w:p w14:paraId="301C8C47">
      <w:pPr>
        <w:spacing w:line="360" w:lineRule="auto"/>
        <w:rPr>
          <w:rFonts w:hint="eastAsia"/>
          <w:b w:val="0"/>
          <w:bCs w:val="0"/>
          <w:color w:val="auto"/>
          <w:sz w:val="24"/>
          <w:lang w:val="en-US" w:eastAsia="zh-CN"/>
        </w:rPr>
      </w:pPr>
      <w:r>
        <w:rPr>
          <w:rFonts w:hint="eastAsia" w:ascii="宋体" w:hAnsi="宋体" w:eastAsia="宋体" w:cs="宋体"/>
          <w:sz w:val="24"/>
          <w:szCs w:val="24"/>
          <w:lang w:val="en-US" w:eastAsia="zh-CN"/>
        </w:rPr>
        <w:t xml:space="preserve">乙方：  </w:t>
      </w:r>
      <w:r>
        <w:rPr>
          <w:rFonts w:hint="eastAsia"/>
          <w:b w:val="0"/>
          <w:bCs w:val="0"/>
          <w:color w:val="auto"/>
          <w:sz w:val="24"/>
          <w:lang w:val="en-US" w:eastAsia="zh-CN"/>
        </w:rPr>
        <w:t xml:space="preserve"> </w:t>
      </w:r>
    </w:p>
    <w:p w14:paraId="4CE861F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en-US" w:eastAsia="zh-CN"/>
        </w:rPr>
        <w:t xml:space="preserve"> </w:t>
      </w:r>
    </w:p>
    <w:p w14:paraId="4DD2739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联系电话：</w:t>
      </w:r>
    </w:p>
    <w:p w14:paraId="19F859B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第十一条：纠纷的解决：</w:t>
      </w:r>
    </w:p>
    <w:p w14:paraId="3EFD99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本合同在履行过程中发生的任何争议，</w:t>
      </w:r>
      <w:r>
        <w:rPr>
          <w:rFonts w:hint="eastAsia" w:ascii="宋体" w:hAnsi="宋体" w:eastAsia="宋体" w:cs="宋体"/>
          <w:sz w:val="24"/>
          <w:szCs w:val="24"/>
          <w:lang w:eastAsia="zh-CN"/>
        </w:rPr>
        <w:t>应</w:t>
      </w:r>
      <w:r>
        <w:rPr>
          <w:rFonts w:hint="eastAsia" w:ascii="宋体" w:hAnsi="宋体" w:eastAsia="宋体" w:cs="宋体"/>
          <w:sz w:val="24"/>
          <w:szCs w:val="24"/>
        </w:rPr>
        <w:t>由甲、乙双方友好协商解决，协商不成的，</w:t>
      </w:r>
      <w:r>
        <w:rPr>
          <w:rFonts w:hint="eastAsia" w:ascii="宋体" w:hAnsi="宋体" w:eastAsia="宋体" w:cs="宋体"/>
          <w:sz w:val="24"/>
          <w:szCs w:val="24"/>
          <w:lang w:eastAsia="zh-CN"/>
        </w:rPr>
        <w:t>甲乙双方任意</w:t>
      </w:r>
      <w:r>
        <w:rPr>
          <w:rFonts w:hint="eastAsia" w:ascii="宋体" w:hAnsi="宋体" w:eastAsia="宋体" w:cs="宋体"/>
          <w:sz w:val="24"/>
          <w:szCs w:val="24"/>
        </w:rPr>
        <w:t>一方有权向甲方所在地人民法院提起诉讼。</w:t>
      </w:r>
    </w:p>
    <w:p w14:paraId="6342EED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第十二条：以下资料为本合同不可分割部分，与本合同具有同等法律效力：</w:t>
      </w:r>
    </w:p>
    <w:p w14:paraId="16A3BE21">
      <w:pPr>
        <w:spacing w:line="360" w:lineRule="auto"/>
        <w:rPr>
          <w:rFonts w:hint="eastAsia" w:ascii="宋体" w:hAnsi="宋体" w:eastAsia="宋体" w:cs="宋体"/>
          <w:sz w:val="24"/>
          <w:szCs w:val="24"/>
        </w:rPr>
      </w:pPr>
      <w:r>
        <w:rPr>
          <w:rFonts w:hint="eastAsia" w:ascii="宋体" w:hAnsi="宋体" w:eastAsia="宋体" w:cs="宋体"/>
          <w:sz w:val="24"/>
          <w:szCs w:val="24"/>
        </w:rPr>
        <w:t>1、招标文件；</w:t>
      </w:r>
    </w:p>
    <w:p w14:paraId="292E3B2C">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2、投标文件</w:t>
      </w:r>
      <w:r>
        <w:rPr>
          <w:rFonts w:hint="eastAsia" w:ascii="宋体" w:hAnsi="宋体" w:eastAsia="宋体" w:cs="宋体"/>
          <w:sz w:val="24"/>
          <w:szCs w:val="24"/>
          <w:lang w:eastAsia="zh-CN"/>
        </w:rPr>
        <w:t>；</w:t>
      </w:r>
    </w:p>
    <w:p w14:paraId="6BA00E6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3、与本项目有关的其他资料。</w:t>
      </w:r>
    </w:p>
    <w:p w14:paraId="784D5540">
      <w:pPr>
        <w:spacing w:line="360" w:lineRule="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本合同一式</w:t>
      </w:r>
      <w:r>
        <w:rPr>
          <w:rFonts w:hint="eastAsia" w:ascii="宋体" w:hAnsi="宋体" w:eastAsia="宋体" w:cs="宋体"/>
          <w:sz w:val="24"/>
          <w:szCs w:val="24"/>
          <w:lang w:eastAsia="zh-CN"/>
        </w:rPr>
        <w:t>肆</w:t>
      </w:r>
      <w:r>
        <w:rPr>
          <w:rFonts w:hint="eastAsia" w:ascii="宋体" w:hAnsi="宋体" w:eastAsia="宋体" w:cs="宋体"/>
          <w:sz w:val="24"/>
          <w:szCs w:val="24"/>
        </w:rPr>
        <w:t>份，甲</w:t>
      </w:r>
      <w:r>
        <w:rPr>
          <w:rFonts w:hint="eastAsia" w:ascii="宋体" w:hAnsi="宋体" w:eastAsia="宋体" w:cs="宋体"/>
          <w:sz w:val="24"/>
          <w:szCs w:val="24"/>
          <w:lang w:eastAsia="zh-CN"/>
        </w:rPr>
        <w:t>方执</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份，</w:t>
      </w:r>
      <w:r>
        <w:rPr>
          <w:rFonts w:hint="eastAsia" w:ascii="宋体" w:hAnsi="宋体" w:eastAsia="宋体" w:cs="宋体"/>
          <w:sz w:val="24"/>
          <w:szCs w:val="24"/>
        </w:rPr>
        <w:t>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份，均具有同等法律效力。</w:t>
      </w:r>
    </w:p>
    <w:p w14:paraId="0E774A67">
      <w:pPr>
        <w:spacing w:line="360" w:lineRule="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本合同未尽事宜，由甲、乙双方另行签订补充协议，补充协议作为</w:t>
      </w:r>
      <w:r>
        <w:rPr>
          <w:rFonts w:hint="eastAsia" w:ascii="宋体" w:hAnsi="宋体" w:eastAsia="宋体" w:cs="宋体"/>
          <w:sz w:val="24"/>
          <w:szCs w:val="24"/>
          <w:lang w:eastAsia="zh-CN"/>
        </w:rPr>
        <w:t>本</w:t>
      </w:r>
      <w:r>
        <w:rPr>
          <w:rFonts w:hint="eastAsia" w:ascii="宋体" w:hAnsi="宋体" w:eastAsia="宋体" w:cs="宋体"/>
          <w:sz w:val="24"/>
          <w:szCs w:val="24"/>
        </w:rPr>
        <w:t>合同附件</w:t>
      </w:r>
      <w:r>
        <w:rPr>
          <w:rFonts w:hint="eastAsia" w:ascii="宋体" w:hAnsi="宋体" w:eastAsia="宋体" w:cs="宋体"/>
          <w:sz w:val="24"/>
          <w:szCs w:val="24"/>
          <w:lang w:eastAsia="zh-CN"/>
        </w:rPr>
        <w:t>，</w:t>
      </w:r>
      <w:r>
        <w:rPr>
          <w:rFonts w:hint="eastAsia" w:ascii="宋体" w:hAnsi="宋体" w:eastAsia="宋体" w:cs="宋体"/>
          <w:sz w:val="24"/>
          <w:szCs w:val="24"/>
        </w:rPr>
        <w:t>与本合同具有同等法律效力。</w:t>
      </w:r>
    </w:p>
    <w:p w14:paraId="36B64D08">
      <w:pPr>
        <w:spacing w:line="360" w:lineRule="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本合同自甲、乙双方签字并加盖公章之日起生效。</w:t>
      </w:r>
    </w:p>
    <w:p w14:paraId="4F385D3D">
      <w:pPr>
        <w:spacing w:line="360" w:lineRule="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本合同有效期自</w:t>
      </w:r>
      <w:r>
        <w:rPr>
          <w:rFonts w:hint="eastAsia" w:ascii="宋体" w:hAnsi="宋体" w:eastAsia="宋体" w:cs="宋体"/>
          <w:sz w:val="24"/>
          <w:szCs w:val="24"/>
          <w:u w:val="single"/>
        </w:rPr>
        <w:t>合同生效之日</w:t>
      </w:r>
      <w:r>
        <w:rPr>
          <w:rFonts w:hint="eastAsia" w:ascii="宋体" w:hAnsi="宋体" w:eastAsia="宋体" w:cs="宋体"/>
          <w:sz w:val="24"/>
          <w:szCs w:val="24"/>
        </w:rPr>
        <w:t>起</w:t>
      </w:r>
      <w:r>
        <w:rPr>
          <w:rFonts w:hint="eastAsia" w:ascii="宋体" w:hAnsi="宋体" w:eastAsia="宋体" w:cs="宋体"/>
          <w:sz w:val="24"/>
          <w:szCs w:val="24"/>
          <w:lang w:eastAsia="zh-CN"/>
        </w:rPr>
        <w:t>，</w:t>
      </w:r>
      <w:r>
        <w:rPr>
          <w:rFonts w:hint="eastAsia"/>
          <w:color w:val="000000"/>
          <w:sz w:val="24"/>
          <w:u w:val="single"/>
        </w:rPr>
        <w:t>合同执行完毕</w:t>
      </w:r>
      <w:r>
        <w:rPr>
          <w:rFonts w:hint="eastAsia"/>
          <w:color w:val="000000"/>
          <w:sz w:val="24"/>
          <w:u w:val="none"/>
          <w:lang w:val="en-US" w:eastAsia="zh-CN"/>
        </w:rPr>
        <w:t>为</w:t>
      </w:r>
      <w:r>
        <w:rPr>
          <w:rFonts w:hint="eastAsia"/>
          <w:color w:val="000000"/>
          <w:sz w:val="24"/>
        </w:rPr>
        <w:t>止</w:t>
      </w:r>
      <w:r>
        <w:rPr>
          <w:rFonts w:hint="eastAsia" w:ascii="宋体" w:hAnsi="宋体" w:eastAsia="宋体" w:cs="宋体"/>
          <w:sz w:val="24"/>
          <w:szCs w:val="24"/>
          <w:lang w:val="en-US" w:eastAsia="zh-CN"/>
        </w:rPr>
        <w:t>。</w:t>
      </w:r>
    </w:p>
    <w:p w14:paraId="032C5A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本合同应当按照中华人民共和国的现行法律、法规进行解释。</w:t>
      </w:r>
    </w:p>
    <w:p w14:paraId="430D18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（本页以下无正文）</w:t>
      </w:r>
      <w:r>
        <w:rPr>
          <w:rFonts w:hint="eastAsia" w:ascii="宋体" w:hAnsi="宋体" w:eastAsia="宋体" w:cs="宋体"/>
          <w:b/>
          <w:bCs/>
          <w:sz w:val="24"/>
          <w:szCs w:val="24"/>
          <w:lang w:val="en-US" w:eastAsia="zh-CN"/>
        </w:rPr>
        <w:t xml:space="preserve">    </w:t>
      </w:r>
    </w:p>
    <w:p w14:paraId="3C931F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CCEA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9C7A1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ins w:id="0" w:author="黑白相片" w:date="2024-11-15T15:56:00Z"/>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23BF04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r>
        <w:rPr>
          <w:rStyle w:val="31"/>
          <w:rFonts w:hint="eastAsia" w:ascii="宋体" w:hAnsi="宋体" w:eastAsia="宋体" w:cs="宋体"/>
          <w:b w:val="0"/>
          <w:bCs/>
          <w:sz w:val="24"/>
        </w:rPr>
        <w:t xml:space="preserve">甲方（盖章）：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乙方（盖章）：</w:t>
      </w:r>
    </w:p>
    <w:p w14:paraId="419FCF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lang w:val="en-US" w:eastAsia="zh-CN"/>
        </w:rPr>
      </w:pPr>
      <w:r>
        <w:rPr>
          <w:rStyle w:val="31"/>
          <w:rFonts w:hint="eastAsia" w:ascii="宋体" w:hAnsi="宋体" w:eastAsia="宋体" w:cs="宋体"/>
          <w:b w:val="0"/>
          <w:bCs/>
          <w:sz w:val="24"/>
          <w:lang w:val="en-US" w:eastAsia="zh-CN"/>
        </w:rPr>
        <w:t xml:space="preserve">陕西中医药大学第二附属医院           </w:t>
      </w:r>
      <w:r>
        <w:rPr>
          <w:rStyle w:val="31"/>
          <w:rFonts w:hint="eastAsia" w:ascii="宋体" w:hAnsi="宋体" w:cs="宋体"/>
          <w:b w:val="0"/>
          <w:bCs/>
          <w:sz w:val="24"/>
          <w:lang w:val="en-US" w:eastAsia="zh-CN"/>
        </w:rPr>
        <w:t xml:space="preserve"> </w:t>
      </w:r>
    </w:p>
    <w:p w14:paraId="30959D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p>
    <w:p w14:paraId="236D4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r>
        <w:rPr>
          <w:rStyle w:val="31"/>
          <w:rFonts w:hint="eastAsia" w:ascii="宋体" w:hAnsi="宋体" w:eastAsia="宋体" w:cs="宋体"/>
          <w:b w:val="0"/>
          <w:bCs/>
          <w:sz w:val="24"/>
        </w:rPr>
        <w:t xml:space="preserve">法定代表人（或委托人）：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法定代表人（或委托人）：</w:t>
      </w:r>
    </w:p>
    <w:p w14:paraId="4AC8F90D">
      <w:pPr>
        <w:tabs>
          <w:tab w:val="left" w:pos="4140"/>
        </w:tabs>
        <w:spacing w:line="360" w:lineRule="auto"/>
        <w:rPr>
          <w:rStyle w:val="31"/>
          <w:rFonts w:hint="eastAsia" w:ascii="宋体" w:hAnsi="宋体" w:eastAsia="宋体" w:cs="宋体"/>
          <w:b w:val="0"/>
          <w:bCs/>
          <w:sz w:val="24"/>
        </w:rPr>
      </w:pPr>
    </w:p>
    <w:p w14:paraId="719BD316">
      <w:pPr>
        <w:tabs>
          <w:tab w:val="left" w:pos="4140"/>
        </w:tabs>
        <w:spacing w:line="360" w:lineRule="auto"/>
        <w:rPr>
          <w:rStyle w:val="31"/>
          <w:rFonts w:hint="eastAsia" w:ascii="宋体" w:hAnsi="宋体" w:eastAsia="宋体" w:cs="宋体"/>
          <w:b w:val="0"/>
          <w:bCs/>
          <w:sz w:val="24"/>
          <w:lang w:val="en-US" w:eastAsia="zh-CN"/>
        </w:rPr>
      </w:pPr>
      <w:r>
        <w:rPr>
          <w:rStyle w:val="31"/>
          <w:rFonts w:hint="eastAsia" w:ascii="宋体" w:hAnsi="宋体" w:eastAsia="宋体" w:cs="宋体"/>
          <w:b w:val="0"/>
          <w:bCs/>
          <w:sz w:val="24"/>
          <w:lang w:val="en-US" w:eastAsia="zh-CN"/>
        </w:rPr>
        <w:t>部门负责人：</w:t>
      </w:r>
    </w:p>
    <w:p w14:paraId="030736BB">
      <w:pPr>
        <w:tabs>
          <w:tab w:val="left" w:pos="4140"/>
        </w:tabs>
        <w:spacing w:line="360" w:lineRule="auto"/>
        <w:jc w:val="left"/>
        <w:rPr>
          <w:rStyle w:val="31"/>
          <w:rFonts w:hint="eastAsia" w:ascii="宋体" w:hAnsi="宋体" w:eastAsia="宋体" w:cs="宋体"/>
          <w:b w:val="0"/>
          <w:bCs/>
          <w:sz w:val="24"/>
        </w:rPr>
      </w:pPr>
    </w:p>
    <w:p w14:paraId="6B1EF150">
      <w:pPr>
        <w:tabs>
          <w:tab w:val="left" w:pos="4140"/>
        </w:tabs>
        <w:spacing w:line="360" w:lineRule="auto"/>
        <w:jc w:val="left"/>
        <w:rPr>
          <w:rStyle w:val="31"/>
          <w:rFonts w:hint="eastAsia" w:ascii="宋体" w:hAnsi="宋体" w:eastAsia="宋体" w:cs="宋体"/>
          <w:b w:val="0"/>
          <w:bCs/>
          <w:sz w:val="24"/>
        </w:rPr>
      </w:pPr>
      <w:r>
        <w:rPr>
          <w:rStyle w:val="31"/>
          <w:rFonts w:hint="eastAsia" w:ascii="宋体" w:hAnsi="宋体" w:eastAsia="宋体" w:cs="宋体"/>
          <w:b w:val="0"/>
          <w:bCs/>
          <w:sz w:val="24"/>
        </w:rPr>
        <w:t xml:space="preserve">年     月     日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年     月     日</w:t>
      </w:r>
    </w:p>
    <w:p w14:paraId="4FE096A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7E1E57E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7B854FA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D309C3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4BED8BA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248858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798978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7ADA5C7C">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353CC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w:t>
      </w:r>
      <w:r>
        <w:rPr>
          <w:rStyle w:val="31"/>
          <w:rFonts w:hint="eastAsia" w:ascii="宋体" w:hAnsi="宋体" w:cs="宋体"/>
          <w:b/>
          <w:color w:val="auto"/>
          <w:sz w:val="28"/>
          <w:szCs w:val="28"/>
          <w:highlight w:val="none"/>
          <w:lang w:val="en-US" w:eastAsia="zh-CN"/>
        </w:rPr>
        <w:t>12-203</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安检设备采购项目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安检设备采购项目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w:t>
      </w:r>
      <w:r>
        <w:rPr>
          <w:rStyle w:val="31"/>
          <w:rFonts w:hint="eastAsia" w:ascii="宋体" w:hAnsi="宋体" w:cs="宋体"/>
          <w:sz w:val="24"/>
          <w:szCs w:val="24"/>
          <w:highlight w:val="none"/>
          <w:lang w:val="en-US" w:eastAsia="zh-CN"/>
        </w:rPr>
        <w:t>12-203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57BEAA2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p>
    <w:p w14:paraId="28BD13BC">
      <w:pPr>
        <w:keepNext w:val="0"/>
        <w:keepLines w:val="0"/>
        <w:pageBreakBefore w:val="0"/>
        <w:numPr>
          <w:ilvl w:val="0"/>
          <w:numId w:val="4"/>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21CA92C4">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87105"/>
      <w:bookmarkStart w:id="10" w:name="_Toc193126889"/>
      <w:bookmarkStart w:id="11" w:name="_Toc188808840"/>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安检设备采购项目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w:t>
      </w:r>
      <w:r>
        <w:rPr>
          <w:rFonts w:hint="eastAsia" w:ascii="宋体" w:hAnsi="宋体" w:cs="宋体"/>
          <w:bCs/>
          <w:sz w:val="24"/>
          <w:szCs w:val="24"/>
          <w:highlight w:val="none"/>
          <w:lang w:val="en-US" w:eastAsia="zh-CN"/>
        </w:rPr>
        <w:t>12-203</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096F1C91">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5"/>
        </w:numPr>
        <w:spacing w:line="360" w:lineRule="auto"/>
        <w:ind w:left="420" w:leftChars="200" w:firstLine="482" w:firstLineChars="200"/>
        <w:jc w:val="left"/>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r>
        <w:rPr>
          <w:rFonts w:hint="eastAsia" w:ascii="宋体" w:hAnsi="宋体" w:cs="宋体"/>
          <w:b/>
          <w:bCs w:val="0"/>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格式由供应商自拟</w:t>
      </w:r>
      <w:r>
        <w:rPr>
          <w:rFonts w:hint="eastAsia" w:ascii="宋体" w:hAnsi="宋体" w:cs="宋体"/>
          <w:b/>
          <w:bCs w:val="0"/>
          <w:color w:val="auto"/>
          <w:kern w:val="2"/>
          <w:sz w:val="24"/>
          <w:szCs w:val="24"/>
          <w:highlight w:val="none"/>
          <w:u w:val="none"/>
          <w:lang w:val="en-US" w:eastAsia="zh-CN" w:bidi="ar-SA"/>
        </w:rPr>
        <w:t>）</w:t>
      </w:r>
    </w:p>
    <w:p w14:paraId="5AB48635">
      <w:pPr>
        <w:rPr>
          <w:rFonts w:hint="eastAsia" w:ascii="宋体" w:hAnsi="宋体" w:cs="宋体"/>
          <w:b/>
          <w:bCs w:val="0"/>
          <w:color w:val="auto"/>
          <w:kern w:val="2"/>
          <w:sz w:val="24"/>
          <w:szCs w:val="24"/>
          <w:highlight w:val="none"/>
          <w:u w:val="none"/>
          <w:lang w:val="en-US" w:eastAsia="zh-CN" w:bidi="ar-SA"/>
        </w:rPr>
      </w:pPr>
    </w:p>
    <w:p w14:paraId="643823C4">
      <w:pPr>
        <w:rPr>
          <w:rFonts w:hint="eastAsia" w:ascii="宋体" w:hAnsi="宋体" w:cs="宋体"/>
          <w:b/>
          <w:bCs w:val="0"/>
          <w:color w:val="auto"/>
          <w:kern w:val="2"/>
          <w:sz w:val="24"/>
          <w:szCs w:val="24"/>
          <w:highlight w:val="none"/>
          <w:u w:val="none"/>
          <w:lang w:val="en-US" w:eastAsia="zh-CN" w:bidi="ar-SA"/>
        </w:rPr>
      </w:pPr>
    </w:p>
    <w:p w14:paraId="3AFA92D3">
      <w:pPr>
        <w:rPr>
          <w:rFonts w:hint="eastAsia" w:ascii="宋体" w:hAnsi="宋体" w:cs="宋体"/>
          <w:b/>
          <w:bCs w:val="0"/>
          <w:color w:val="auto"/>
          <w:kern w:val="2"/>
          <w:sz w:val="24"/>
          <w:szCs w:val="24"/>
          <w:highlight w:val="none"/>
          <w:u w:val="none"/>
          <w:lang w:val="en-US" w:eastAsia="zh-CN" w:bidi="ar-SA"/>
        </w:rPr>
      </w:pPr>
    </w:p>
    <w:p w14:paraId="67A4317E">
      <w:pPr>
        <w:rPr>
          <w:rFonts w:hint="eastAsia" w:ascii="宋体" w:hAnsi="宋体" w:cs="宋体"/>
          <w:b/>
          <w:bCs w:val="0"/>
          <w:color w:val="auto"/>
          <w:kern w:val="2"/>
          <w:sz w:val="24"/>
          <w:szCs w:val="24"/>
          <w:highlight w:val="none"/>
          <w:u w:val="none"/>
          <w:lang w:val="en-US" w:eastAsia="zh-CN" w:bidi="ar-SA"/>
        </w:rPr>
      </w:pPr>
    </w:p>
    <w:p w14:paraId="3DED46E4">
      <w:pPr>
        <w:rPr>
          <w:rFonts w:hint="eastAsia" w:ascii="宋体" w:hAnsi="宋体" w:cs="宋体"/>
          <w:b/>
          <w:bCs w:val="0"/>
          <w:color w:val="auto"/>
          <w:kern w:val="2"/>
          <w:sz w:val="24"/>
          <w:szCs w:val="24"/>
          <w:highlight w:val="none"/>
          <w:u w:val="none"/>
          <w:lang w:val="en-US" w:eastAsia="zh-CN" w:bidi="ar-SA"/>
        </w:rPr>
      </w:pPr>
    </w:p>
    <w:p w14:paraId="4BF669BC">
      <w:pPr>
        <w:rPr>
          <w:rFonts w:hint="eastAsia" w:ascii="宋体" w:hAnsi="宋体" w:cs="宋体"/>
          <w:b/>
          <w:bCs w:val="0"/>
          <w:color w:val="auto"/>
          <w:kern w:val="2"/>
          <w:sz w:val="24"/>
          <w:szCs w:val="24"/>
          <w:highlight w:val="none"/>
          <w:u w:val="none"/>
          <w:lang w:val="en-US" w:eastAsia="zh-CN" w:bidi="ar-SA"/>
        </w:rPr>
      </w:pPr>
    </w:p>
    <w:p w14:paraId="39CB1E11">
      <w:pPr>
        <w:rPr>
          <w:rFonts w:hint="eastAsia" w:ascii="宋体" w:hAnsi="宋体" w:cs="宋体"/>
          <w:b/>
          <w:bCs w:val="0"/>
          <w:color w:val="auto"/>
          <w:kern w:val="2"/>
          <w:sz w:val="24"/>
          <w:szCs w:val="24"/>
          <w:highlight w:val="none"/>
          <w:u w:val="none"/>
          <w:lang w:val="en-US" w:eastAsia="zh-CN" w:bidi="ar-SA"/>
        </w:rPr>
      </w:pPr>
    </w:p>
    <w:p w14:paraId="467F3D7A">
      <w:pPr>
        <w:rPr>
          <w:rFonts w:hint="eastAsia" w:ascii="宋体" w:hAnsi="宋体" w:cs="宋体"/>
          <w:b/>
          <w:bCs w:val="0"/>
          <w:color w:val="auto"/>
          <w:kern w:val="2"/>
          <w:sz w:val="24"/>
          <w:szCs w:val="24"/>
          <w:highlight w:val="none"/>
          <w:u w:val="none"/>
          <w:lang w:val="en-US" w:eastAsia="zh-CN" w:bidi="ar-SA"/>
        </w:rPr>
      </w:pPr>
    </w:p>
    <w:p w14:paraId="057F43C7">
      <w:pPr>
        <w:rPr>
          <w:rFonts w:hint="eastAsia" w:ascii="宋体" w:hAnsi="宋体" w:cs="宋体"/>
          <w:b/>
          <w:bCs w:val="0"/>
          <w:color w:val="auto"/>
          <w:kern w:val="2"/>
          <w:sz w:val="24"/>
          <w:szCs w:val="24"/>
          <w:highlight w:val="none"/>
          <w:u w:val="none"/>
          <w:lang w:val="en-US" w:eastAsia="zh-CN" w:bidi="ar-SA"/>
        </w:rPr>
      </w:pPr>
    </w:p>
    <w:p w14:paraId="76882073">
      <w:pPr>
        <w:rPr>
          <w:rFonts w:hint="eastAsia" w:ascii="宋体" w:hAnsi="宋体" w:cs="宋体"/>
          <w:b/>
          <w:bCs w:val="0"/>
          <w:color w:val="auto"/>
          <w:kern w:val="2"/>
          <w:sz w:val="24"/>
          <w:szCs w:val="24"/>
          <w:highlight w:val="none"/>
          <w:u w:val="none"/>
          <w:lang w:val="en-US" w:eastAsia="zh-CN" w:bidi="ar-SA"/>
        </w:rPr>
      </w:pPr>
    </w:p>
    <w:p w14:paraId="39CCC1D8">
      <w:pPr>
        <w:rPr>
          <w:rFonts w:hint="eastAsia" w:ascii="宋体" w:hAnsi="宋体" w:cs="宋体"/>
          <w:b/>
          <w:bCs w:val="0"/>
          <w:color w:val="auto"/>
          <w:kern w:val="2"/>
          <w:sz w:val="24"/>
          <w:szCs w:val="24"/>
          <w:highlight w:val="none"/>
          <w:u w:val="none"/>
          <w:lang w:val="en-US" w:eastAsia="zh-CN" w:bidi="ar-SA"/>
        </w:rPr>
      </w:pPr>
    </w:p>
    <w:p w14:paraId="323DBD0A">
      <w:pPr>
        <w:rPr>
          <w:rFonts w:hint="eastAsia" w:ascii="宋体" w:hAnsi="宋体" w:cs="宋体"/>
          <w:b/>
          <w:bCs w:val="0"/>
          <w:color w:val="auto"/>
          <w:kern w:val="2"/>
          <w:sz w:val="24"/>
          <w:szCs w:val="24"/>
          <w:highlight w:val="none"/>
          <w:u w:val="none"/>
          <w:lang w:val="en-US" w:eastAsia="zh-CN" w:bidi="ar-SA"/>
        </w:rPr>
      </w:pPr>
    </w:p>
    <w:p w14:paraId="2BB6575A">
      <w:pPr>
        <w:rPr>
          <w:rFonts w:hint="eastAsia" w:ascii="宋体" w:hAnsi="宋体" w:cs="宋体"/>
          <w:b/>
          <w:bCs w:val="0"/>
          <w:color w:val="auto"/>
          <w:kern w:val="2"/>
          <w:sz w:val="24"/>
          <w:szCs w:val="24"/>
          <w:highlight w:val="none"/>
          <w:u w:val="none"/>
          <w:lang w:val="en-US" w:eastAsia="zh-CN" w:bidi="ar-SA"/>
        </w:rPr>
      </w:pPr>
    </w:p>
    <w:p w14:paraId="6FE59029">
      <w:pPr>
        <w:rPr>
          <w:rFonts w:hint="eastAsia" w:ascii="宋体" w:hAnsi="宋体" w:cs="宋体"/>
          <w:b/>
          <w:bCs w:val="0"/>
          <w:color w:val="auto"/>
          <w:kern w:val="2"/>
          <w:sz w:val="24"/>
          <w:szCs w:val="24"/>
          <w:highlight w:val="none"/>
          <w:u w:val="none"/>
          <w:lang w:val="en-US" w:eastAsia="zh-CN" w:bidi="ar-SA"/>
        </w:rPr>
      </w:pPr>
    </w:p>
    <w:p w14:paraId="58EFC8CF">
      <w:pPr>
        <w:rPr>
          <w:rFonts w:hint="eastAsia" w:ascii="宋体" w:hAnsi="宋体" w:cs="宋体"/>
          <w:b/>
          <w:bCs w:val="0"/>
          <w:color w:val="auto"/>
          <w:kern w:val="2"/>
          <w:sz w:val="24"/>
          <w:szCs w:val="24"/>
          <w:highlight w:val="none"/>
          <w:u w:val="none"/>
          <w:lang w:val="en-US" w:eastAsia="zh-CN" w:bidi="ar-SA"/>
        </w:rPr>
      </w:pPr>
    </w:p>
    <w:p w14:paraId="7508B272">
      <w:pPr>
        <w:rPr>
          <w:rFonts w:hint="eastAsia" w:ascii="宋体" w:hAnsi="宋体" w:cs="宋体"/>
          <w:b/>
          <w:bCs w:val="0"/>
          <w:color w:val="auto"/>
          <w:kern w:val="2"/>
          <w:sz w:val="24"/>
          <w:szCs w:val="24"/>
          <w:highlight w:val="none"/>
          <w:u w:val="none"/>
          <w:lang w:val="en-US" w:eastAsia="zh-CN" w:bidi="ar-SA"/>
        </w:rPr>
      </w:pPr>
    </w:p>
    <w:p w14:paraId="56C2FB00">
      <w:pPr>
        <w:rPr>
          <w:rFonts w:hint="eastAsia" w:ascii="宋体" w:hAnsi="宋体" w:cs="宋体"/>
          <w:b/>
          <w:bCs w:val="0"/>
          <w:color w:val="auto"/>
          <w:kern w:val="2"/>
          <w:sz w:val="24"/>
          <w:szCs w:val="24"/>
          <w:highlight w:val="none"/>
          <w:u w:val="none"/>
          <w:lang w:val="en-US" w:eastAsia="zh-CN" w:bidi="ar-SA"/>
        </w:rPr>
      </w:pPr>
    </w:p>
    <w:p w14:paraId="7D34A290">
      <w:pPr>
        <w:rPr>
          <w:rFonts w:hint="eastAsia" w:ascii="宋体" w:hAnsi="宋体" w:cs="宋体"/>
          <w:b/>
          <w:bCs w:val="0"/>
          <w:color w:val="auto"/>
          <w:kern w:val="2"/>
          <w:sz w:val="24"/>
          <w:szCs w:val="24"/>
          <w:highlight w:val="none"/>
          <w:u w:val="none"/>
          <w:lang w:val="en-US" w:eastAsia="zh-CN" w:bidi="ar-SA"/>
        </w:rPr>
      </w:pPr>
    </w:p>
    <w:p w14:paraId="56053694">
      <w:pPr>
        <w:rPr>
          <w:rFonts w:hint="eastAsia" w:ascii="宋体" w:hAnsi="宋体" w:cs="宋体"/>
          <w:b/>
          <w:bCs w:val="0"/>
          <w:color w:val="auto"/>
          <w:kern w:val="2"/>
          <w:sz w:val="24"/>
          <w:szCs w:val="24"/>
          <w:highlight w:val="none"/>
          <w:u w:val="none"/>
          <w:lang w:val="en-US" w:eastAsia="zh-CN" w:bidi="ar-SA"/>
        </w:rPr>
      </w:pPr>
    </w:p>
    <w:p w14:paraId="6EADD33F">
      <w:pPr>
        <w:rPr>
          <w:rFonts w:hint="eastAsia" w:ascii="宋体" w:hAnsi="宋体" w:cs="宋体"/>
          <w:b/>
          <w:bCs w:val="0"/>
          <w:color w:val="auto"/>
          <w:kern w:val="2"/>
          <w:sz w:val="24"/>
          <w:szCs w:val="24"/>
          <w:highlight w:val="none"/>
          <w:u w:val="none"/>
          <w:lang w:val="en-US" w:eastAsia="zh-CN" w:bidi="ar-SA"/>
        </w:rPr>
      </w:pPr>
    </w:p>
    <w:p w14:paraId="6CB4FACA">
      <w:pPr>
        <w:numPr>
          <w:ilvl w:val="0"/>
          <w:numId w:val="0"/>
        </w:numPr>
        <w:rPr>
          <w:rFonts w:hint="default"/>
          <w:lang w:val="en-US" w:eastAsia="zh-CN"/>
        </w:rPr>
      </w:pPr>
      <w:r>
        <w:rPr>
          <w:rFonts w:hint="eastAsia"/>
          <w:lang w:val="en-US" w:eastAsia="zh-CN"/>
        </w:rPr>
        <w:t xml:space="preserve">   </w:t>
      </w:r>
    </w:p>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119E098">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680570BE">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安检设备采购项目</w:t>
      </w:r>
    </w:p>
    <w:p w14:paraId="0E14668D">
      <w:pPr>
        <w:keepNext w:val="0"/>
        <w:keepLines w:val="0"/>
        <w:pageBreakBefore w:val="0"/>
        <w:kinsoku/>
        <w:wordWrap/>
        <w:overflowPunct/>
        <w:topLinePunct w:val="0"/>
        <w:bidi w:val="0"/>
        <w:spacing w:line="360" w:lineRule="auto"/>
        <w:ind w:right="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w:t>
      </w:r>
      <w:r>
        <w:rPr>
          <w:rFonts w:hint="eastAsia" w:ascii="宋体" w:hAnsi="宋体" w:cs="宋体"/>
          <w:bCs/>
          <w:sz w:val="24"/>
          <w:szCs w:val="24"/>
          <w:highlight w:val="none"/>
          <w:lang w:val="en-US" w:eastAsia="zh-CN"/>
        </w:rPr>
        <w:t>12-203</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26887"/>
      <w:bookmarkStart w:id="14" w:name="_Toc188808838"/>
      <w:bookmarkStart w:id="15"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49019497"/>
      <w:bookmarkStart w:id="18" w:name="_Toc193126888"/>
      <w:bookmarkStart w:id="19" w:name="_Toc47262069"/>
      <w:bookmarkStart w:id="20" w:name="_Toc47261690"/>
      <w:bookmarkStart w:id="21" w:name="_Toc48791235"/>
      <w:bookmarkStart w:id="22" w:name="_Toc194663925"/>
      <w:bookmarkStart w:id="23" w:name="_Toc193187104"/>
      <w:bookmarkStart w:id="24" w:name="_Toc48995851"/>
      <w:bookmarkStart w:id="25" w:name="_Toc47418255"/>
      <w:bookmarkStart w:id="26" w:name="_Toc47261885"/>
      <w:bookmarkStart w:id="27" w:name="_Toc49019236"/>
      <w:bookmarkStart w:id="28" w:name="_Toc47418938"/>
      <w:bookmarkStart w:id="29" w:name="_Toc47418731"/>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EA9F3DF">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F69C61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1B0573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66C931E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97503ED">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39B610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819BE73">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605B423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6BFED1AF">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1F8549D6">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186EBF56">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33ABC56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73016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15169C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8044"/>
      <w:bookmarkStart w:id="32" w:name="_Toc15591"/>
      <w:bookmarkStart w:id="33" w:name="_Toc17482"/>
      <w:bookmarkStart w:id="34" w:name="_Toc13312"/>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4"/>
      <w:bookmarkStart w:id="38" w:name="_Toc7264"/>
      <w:bookmarkStart w:id="39" w:name="_Toc5624"/>
      <w:bookmarkStart w:id="40" w:name="_Toc2556"/>
      <w:bookmarkStart w:id="41" w:name="_Toc4050"/>
      <w:bookmarkStart w:id="42" w:name="_Toc26876"/>
      <w:bookmarkStart w:id="43"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安检设备</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w:t>
      </w:r>
      <w:r>
        <w:rPr>
          <w:rFonts w:hint="eastAsia" w:ascii="宋体" w:hAnsi="宋体" w:cs="宋体"/>
          <w:color w:val="000000" w:themeColor="text1"/>
          <w:sz w:val="24"/>
          <w:szCs w:val="24"/>
          <w:highlight w:val="none"/>
          <w:u w:val="single"/>
          <w:lang w:val="en-US" w:eastAsia="zh-CN"/>
          <w14:textFill>
            <w14:solidFill>
              <w14:schemeClr w14:val="tx1"/>
            </w14:solidFill>
          </w14:textFill>
        </w:rPr>
        <w:t>12-203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5E2C690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安检设备</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w:t>
      </w:r>
      <w:r>
        <w:rPr>
          <w:rFonts w:hint="eastAsia" w:ascii="宋体" w:hAnsi="宋体" w:cs="宋体"/>
          <w:color w:val="000000" w:themeColor="text1"/>
          <w:sz w:val="24"/>
          <w:szCs w:val="24"/>
          <w:highlight w:val="none"/>
          <w:u w:val="single"/>
          <w:lang w:val="en-US" w:eastAsia="zh-CN"/>
          <w14:textFill>
            <w14:solidFill>
              <w14:schemeClr w14:val="tx1"/>
            </w14:solidFill>
          </w14:textFill>
        </w:rPr>
        <w:t>12-203</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35D3D0F9">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5773"/>
      <w:bookmarkStart w:id="48" w:name="_Toc25983"/>
      <w:bookmarkStart w:id="49" w:name="_Toc14564"/>
      <w:bookmarkStart w:id="50" w:name="_Toc23076"/>
      <w:bookmarkStart w:id="51" w:name="_Toc12007"/>
      <w:bookmarkStart w:id="52" w:name="_Toc13090"/>
      <w:bookmarkStart w:id="53" w:name="_Toc12264"/>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5131"/>
      <w:bookmarkStart w:id="55" w:name="_Toc952"/>
      <w:bookmarkStart w:id="56" w:name="_Toc22023"/>
      <w:bookmarkStart w:id="57" w:name="_Toc11275"/>
      <w:bookmarkStart w:id="58" w:name="_Toc26760"/>
      <w:bookmarkStart w:id="59" w:name="_Toc21260"/>
      <w:bookmarkStart w:id="60" w:name="_Toc1065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3A3382C1">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安检设备</w:t>
      </w:r>
      <w:r>
        <w:rPr>
          <w:rFonts w:hint="eastAsia" w:ascii="宋体" w:hAnsi="宋体" w:cs="宋体"/>
          <w:color w:val="000000" w:themeColor="text1"/>
          <w:sz w:val="24"/>
          <w:szCs w:val="24"/>
          <w:highlight w:val="none"/>
          <w:u w:val="single"/>
          <w:lang w:eastAsia="zh-CN"/>
          <w14:textFill>
            <w14:solidFill>
              <w14:schemeClr w14:val="tx1"/>
            </w14:solidFill>
          </w14:textFill>
        </w:rPr>
        <w:t>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w:t>
      </w:r>
      <w:r>
        <w:rPr>
          <w:rFonts w:hint="eastAsia" w:ascii="宋体" w:hAnsi="宋体" w:cs="宋体"/>
          <w:color w:val="000000" w:themeColor="text1"/>
          <w:sz w:val="24"/>
          <w:szCs w:val="24"/>
          <w:highlight w:val="none"/>
          <w:u w:val="single"/>
          <w:lang w:val="en-US" w:eastAsia="zh-CN"/>
          <w14:textFill>
            <w14:solidFill>
              <w14:schemeClr w14:val="tx1"/>
            </w14:solidFill>
          </w14:textFill>
        </w:rPr>
        <w:t>12-203</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65BC1D89">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7B8E1DA">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安检设备采购项目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ADF1B408"/>
    <w:multiLevelType w:val="singleLevel"/>
    <w:tmpl w:val="ADF1B408"/>
    <w:lvl w:ilvl="0" w:tentative="0">
      <w:start w:val="1"/>
      <w:numFmt w:val="decimal"/>
      <w:lvlText w:val="%1."/>
      <w:lvlJc w:val="left"/>
      <w:pPr>
        <w:tabs>
          <w:tab w:val="left" w:pos="312"/>
        </w:tabs>
      </w:pPr>
    </w:lvl>
  </w:abstractNum>
  <w:abstractNum w:abstractNumId="2">
    <w:nsid w:val="BD1894C4"/>
    <w:multiLevelType w:val="singleLevel"/>
    <w:tmpl w:val="BD1894C4"/>
    <w:lvl w:ilvl="0" w:tentative="0">
      <w:start w:val="2"/>
      <w:numFmt w:val="decimal"/>
      <w:suff w:val="nothing"/>
      <w:lvlText w:val="%1、"/>
      <w:lvlJc w:val="left"/>
    </w:lvl>
  </w:abstractNum>
  <w:abstractNum w:abstractNumId="3">
    <w:nsid w:val="40FE84BC"/>
    <w:multiLevelType w:val="singleLevel"/>
    <w:tmpl w:val="40FE84BC"/>
    <w:lvl w:ilvl="0" w:tentative="0">
      <w:start w:val="1"/>
      <w:numFmt w:val="decimal"/>
      <w:lvlText w:val="%1."/>
      <w:lvlJc w:val="left"/>
      <w:pPr>
        <w:tabs>
          <w:tab w:val="left" w:pos="312"/>
        </w:tabs>
      </w:pPr>
    </w:lvl>
  </w:abstractNum>
  <w:abstractNum w:abstractNumId="4">
    <w:nsid w:val="5738F2BB"/>
    <w:multiLevelType w:val="singleLevel"/>
    <w:tmpl w:val="5738F2BB"/>
    <w:lvl w:ilvl="0" w:tentative="0">
      <w:start w:val="2"/>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白相片">
    <w15:presenceInfo w15:providerId="None" w15:userId="黑白相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404E0F"/>
    <w:rsid w:val="2EDB11AD"/>
    <w:rsid w:val="2F137503"/>
    <w:rsid w:val="2F8855E0"/>
    <w:rsid w:val="2FBA1591"/>
    <w:rsid w:val="30327416"/>
    <w:rsid w:val="309131DC"/>
    <w:rsid w:val="319E013D"/>
    <w:rsid w:val="31B55296"/>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CE32490"/>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9E11A68"/>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13498</Words>
  <Characters>14176</Characters>
  <Paragraphs>503</Paragraphs>
  <TotalTime>39</TotalTime>
  <ScaleCrop>false</ScaleCrop>
  <LinksUpToDate>false</LinksUpToDate>
  <CharactersWithSpaces>15351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2024-12-11T08:41:19Z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E391516640544CD08F4C455733CBCC7B_13</vt:lpwstr>
  </property>
</Properties>
</file>