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SZRFYZB202407-119</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E6C0B69">
      <w:pPr>
        <w:pStyle w:val="17"/>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04753B2">
      <w:pPr>
        <w:pStyle w:val="17"/>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2ADD87C">
      <w:pPr>
        <w:pStyle w:val="17"/>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DD2146E">
      <w:pPr>
        <w:pStyle w:val="17"/>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067C3922">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cs="宋体"/>
          <w:b/>
          <w:sz w:val="52"/>
          <w:szCs w:val="52"/>
          <w:highlight w:val="none"/>
          <w:lang w:val="en-US" w:eastAsia="zh-CN"/>
        </w:rPr>
      </w:pPr>
      <w:r>
        <w:rPr>
          <w:rStyle w:val="32"/>
          <w:rFonts w:hint="eastAsia" w:ascii="宋体" w:hAnsi="宋体" w:cs="宋体"/>
          <w:b/>
          <w:sz w:val="52"/>
          <w:szCs w:val="52"/>
          <w:highlight w:val="none"/>
          <w:lang w:val="en-US" w:eastAsia="zh-CN"/>
        </w:rPr>
        <w:t>2024-2025年新生儿科专用物资</w:t>
      </w:r>
    </w:p>
    <w:p w14:paraId="700EE488">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采购项目（标段三）</w:t>
      </w: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cs="宋体"/>
          <w:b/>
          <w:color w:val="000000"/>
          <w:kern w:val="0"/>
          <w:sz w:val="52"/>
          <w:szCs w:val="52"/>
          <w:highlight w:val="none"/>
          <w:lang w:val="en-US" w:eastAsia="zh-CN"/>
        </w:rPr>
        <w:t>竞争性磋商</w:t>
      </w:r>
      <w:r>
        <w:rPr>
          <w:rStyle w:val="32"/>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B818AC3">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3D2039F8">
      <w:pPr>
        <w:pStyle w:val="2"/>
        <w:rPr>
          <w:rFonts w:hint="eastAsia"/>
        </w:rPr>
      </w:pPr>
    </w:p>
    <w:p w14:paraId="1205C4F0">
      <w:pPr>
        <w:pStyle w:val="2"/>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1574CEE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eastAsia="宋体" w:cs="宋体"/>
          <w:b/>
          <w:color w:val="auto"/>
          <w:sz w:val="28"/>
          <w:szCs w:val="28"/>
          <w:highlight w:val="none"/>
          <w:lang w:val="en-US" w:eastAsia="zh-CN"/>
        </w:rPr>
        <w:t>四年</w:t>
      </w:r>
      <w:r>
        <w:rPr>
          <w:rStyle w:val="32"/>
          <w:rFonts w:hint="eastAsia" w:ascii="宋体" w:hAnsi="宋体" w:cs="宋体"/>
          <w:b/>
          <w:color w:val="auto"/>
          <w:sz w:val="28"/>
          <w:szCs w:val="28"/>
          <w:highlight w:val="none"/>
          <w:lang w:val="en-US" w:eastAsia="zh-CN"/>
        </w:rPr>
        <w:t>十二</w:t>
      </w:r>
      <w:r>
        <w:rPr>
          <w:rStyle w:val="32"/>
          <w:rFonts w:hint="eastAsia" w:ascii="宋体" w:hAnsi="宋体" w:eastAsia="宋体" w:cs="宋体"/>
          <w:b/>
          <w:color w:val="auto"/>
          <w:sz w:val="28"/>
          <w:szCs w:val="28"/>
          <w:highlight w:val="none"/>
          <w:lang w:val="en-US" w:eastAsia="zh-CN"/>
        </w:rPr>
        <w:t>月</w:t>
      </w:r>
    </w:p>
    <w:p w14:paraId="29E909C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6BD23DDE">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51EA0EE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竞争性磋商</w:t>
      </w:r>
      <w:r>
        <w:rPr>
          <w:rStyle w:val="32"/>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供应商</w:t>
      </w:r>
      <w:r>
        <w:rPr>
          <w:rStyle w:val="32"/>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w:t>
      </w:r>
      <w:r>
        <w:rPr>
          <w:rStyle w:val="32"/>
          <w:rFonts w:hint="eastAsia" w:ascii="宋体" w:hAnsi="宋体" w:cs="宋体"/>
          <w:b/>
          <w:color w:val="000000"/>
          <w:kern w:val="0"/>
          <w:sz w:val="28"/>
          <w:szCs w:val="28"/>
          <w:highlight w:val="none"/>
          <w:lang w:val="en-US" w:eastAsia="zh-CN"/>
        </w:rPr>
        <w:t>响应文件</w:t>
      </w:r>
      <w:r>
        <w:rPr>
          <w:rStyle w:val="32"/>
          <w:rFonts w:hint="eastAsia" w:ascii="宋体" w:hAnsi="宋体" w:eastAsia="宋体" w:cs="宋体"/>
          <w:b/>
          <w:color w:val="000000"/>
          <w:kern w:val="0"/>
          <w:sz w:val="28"/>
          <w:szCs w:val="28"/>
          <w:highlight w:val="none"/>
        </w:rPr>
        <w:t>格式</w:t>
      </w: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75F1AA6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w:t>
      </w:r>
      <w:r>
        <w:rPr>
          <w:rStyle w:val="32"/>
          <w:rFonts w:hint="eastAsia" w:ascii="宋体" w:hAnsi="宋体" w:cs="宋体"/>
          <w:b/>
          <w:sz w:val="32"/>
          <w:szCs w:val="32"/>
          <w:highlight w:val="none"/>
          <w:lang w:val="en-US" w:eastAsia="zh-CN"/>
        </w:rPr>
        <w:t>竞争性磋商</w:t>
      </w:r>
      <w:r>
        <w:rPr>
          <w:rStyle w:val="32"/>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w:t>
      </w:r>
      <w:r>
        <w:rPr>
          <w:rFonts w:hint="eastAsia" w:ascii="宋体" w:hAnsi="宋体" w:cs="宋体"/>
          <w:sz w:val="24"/>
          <w:szCs w:val="24"/>
          <w:highlight w:val="none"/>
          <w:lang w:val="en-US" w:eastAsia="zh-CN"/>
        </w:rPr>
        <w:t>2024-2025年新生儿科专用物资采购项目（标段三）</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2024-2025年新生儿科专用物资采购项目（标段三）</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28</w:t>
      </w:r>
      <w:r>
        <w:rPr>
          <w:rStyle w:val="32"/>
          <w:rFonts w:hint="eastAsia" w:ascii="宋体" w:hAnsi="宋体" w:eastAsia="宋体" w:cs="宋体"/>
          <w:sz w:val="24"/>
          <w:szCs w:val="24"/>
          <w:highlight w:val="none"/>
          <w:lang w:val="en-US" w:eastAsia="zh-CN"/>
        </w:rPr>
        <w:t>万元</w:t>
      </w:r>
      <w:r>
        <w:rPr>
          <w:rStyle w:val="32"/>
          <w:rFonts w:hint="eastAsia" w:ascii="宋体" w:hAnsi="宋体" w:cs="宋体"/>
          <w:sz w:val="24"/>
          <w:szCs w:val="24"/>
          <w:highlight w:val="none"/>
          <w:lang w:val="en-US" w:eastAsia="zh-CN"/>
        </w:rPr>
        <w:t>，一年</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72B758FA">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254855B">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bookmarkStart w:id="61" w:name="_GoBack"/>
      <w:bookmarkEnd w:id="61"/>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45D9A14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2.请务必在招标项目报名期间缴纳投标保证金，逾期缴纳视为无效报名，报名结束第二天</w:t>
      </w:r>
      <w:r>
        <w:rPr>
          <w:rStyle w:val="32"/>
          <w:rFonts w:hint="eastAsia" w:ascii="宋体" w:hAnsi="宋体" w:cs="宋体"/>
          <w:bCs/>
          <w:sz w:val="24"/>
          <w:szCs w:val="24"/>
          <w:highlight w:val="none"/>
          <w:lang w:val="en-US" w:eastAsia="zh-CN"/>
        </w:rPr>
        <w:t>采购人</w:t>
      </w:r>
      <w:r>
        <w:rPr>
          <w:rStyle w:val="32"/>
          <w:rFonts w:hint="eastAsia" w:ascii="宋体" w:hAnsi="宋体" w:eastAsia="宋体" w:cs="宋体"/>
          <w:bCs/>
          <w:sz w:val="24"/>
          <w:szCs w:val="24"/>
          <w:highlight w:val="none"/>
          <w:lang w:val="en-US" w:eastAsia="zh-CN"/>
        </w:rPr>
        <w:t>进行核验投标保证金缴纳情况；</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3.退还方式：投标保证金在中标公告公示期满后7日内无息全额退还。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029-33350212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，将</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中的资格要求与</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应对</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8F11D0E">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69579FAE">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262F477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both"/>
        <w:textAlignment w:val="auto"/>
        <w:rPr>
          <w:rFonts w:hint="eastAsia" w:ascii="宋体" w:hAnsi="宋体" w:eastAsia="宋体" w:cs="宋体"/>
          <w:b/>
          <w:kern w:val="2"/>
          <w:sz w:val="32"/>
          <w:szCs w:val="32"/>
          <w:highlight w:val="none"/>
          <w:lang w:val="en-US" w:eastAsia="zh-CN" w:bidi="ar-SA"/>
        </w:rPr>
      </w:pP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772106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 xml:space="preserve">按照科室使用需求，对陕西中医药大学第二附属医院 2024-2025 年新生儿科专用物资采购项目（标段三）进行采购，本次采购范围为标段三：奶瓶。 </w:t>
      </w:r>
    </w:p>
    <w:p w14:paraId="2136D21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采购内容及要求</w:t>
      </w:r>
    </w:p>
    <w:tbl>
      <w:tblPr>
        <w:tblStyle w:val="21"/>
        <w:tblW w:w="87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
        <w:gridCol w:w="2398"/>
        <w:gridCol w:w="2201"/>
        <w:gridCol w:w="828"/>
        <w:gridCol w:w="1208"/>
        <w:gridCol w:w="1301"/>
      </w:tblGrid>
      <w:tr w14:paraId="3DA0F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exac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D5099C">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2CAE1A1D">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品名</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14:paraId="291AEAEF">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规格</w:t>
            </w:r>
          </w:p>
        </w:tc>
        <w:tc>
          <w:tcPr>
            <w:tcW w:w="828" w:type="dxa"/>
            <w:tcBorders>
              <w:top w:val="single" w:color="000000" w:sz="4" w:space="0"/>
              <w:left w:val="single" w:color="000000" w:sz="4" w:space="0"/>
              <w:bottom w:val="single" w:color="000000" w:sz="4" w:space="0"/>
              <w:right w:val="single" w:color="auto" w:sz="4" w:space="0"/>
            </w:tcBorders>
            <w:noWrap w:val="0"/>
            <w:vAlign w:val="center"/>
          </w:tcPr>
          <w:p w14:paraId="7D05026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1208" w:type="dxa"/>
            <w:tcBorders>
              <w:top w:val="single" w:color="000000" w:sz="4" w:space="0"/>
              <w:left w:val="single" w:color="auto" w:sz="4" w:space="0"/>
              <w:bottom w:val="single" w:color="000000" w:sz="4" w:space="0"/>
              <w:right w:val="single" w:color="auto" w:sz="4" w:space="0"/>
            </w:tcBorders>
            <w:noWrap w:val="0"/>
            <w:vAlign w:val="center"/>
          </w:tcPr>
          <w:p w14:paraId="0BF657D8">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限价</w:t>
            </w:r>
          </w:p>
        </w:tc>
        <w:tc>
          <w:tcPr>
            <w:tcW w:w="1301" w:type="dxa"/>
            <w:tcBorders>
              <w:top w:val="single" w:color="000000" w:sz="4" w:space="0"/>
              <w:left w:val="single" w:color="auto" w:sz="4" w:space="0"/>
              <w:bottom w:val="single" w:color="000000" w:sz="4" w:space="0"/>
              <w:right w:val="single" w:color="000000" w:sz="4" w:space="0"/>
            </w:tcBorders>
            <w:noWrap w:val="0"/>
            <w:vAlign w:val="center"/>
          </w:tcPr>
          <w:p w14:paraId="6C730964">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14:paraId="2EBEF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BDE234">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61A6C814">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宋体" w:hAnsi="宋体" w:eastAsia="宋体" w:cs="宋体"/>
                <w:b w:val="0"/>
                <w:bCs/>
                <w:kern w:val="2"/>
                <w:sz w:val="24"/>
                <w:szCs w:val="24"/>
                <w:highlight w:val="none"/>
                <w:u w:val="none"/>
                <w:lang w:val="en-US" w:eastAsia="zh-CN" w:bidi="ar-SA"/>
              </w:rPr>
              <w:t>一次性奶瓶（喂奶）</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14:paraId="212D684E">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100ml、八角形</w:t>
            </w:r>
          </w:p>
        </w:tc>
        <w:tc>
          <w:tcPr>
            <w:tcW w:w="828" w:type="dxa"/>
            <w:tcBorders>
              <w:top w:val="single" w:color="000000" w:sz="4" w:space="0"/>
              <w:left w:val="single" w:color="000000" w:sz="4" w:space="0"/>
              <w:bottom w:val="single" w:color="000000" w:sz="4" w:space="0"/>
              <w:right w:val="single" w:color="auto" w:sz="4" w:space="0"/>
            </w:tcBorders>
            <w:noWrap w:val="0"/>
            <w:vAlign w:val="center"/>
          </w:tcPr>
          <w:p w14:paraId="1534D5A8">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套</w:t>
            </w:r>
          </w:p>
        </w:tc>
        <w:tc>
          <w:tcPr>
            <w:tcW w:w="1208" w:type="dxa"/>
            <w:tcBorders>
              <w:top w:val="single" w:color="000000" w:sz="4" w:space="0"/>
              <w:left w:val="single" w:color="auto" w:sz="4" w:space="0"/>
              <w:bottom w:val="single" w:color="000000" w:sz="4" w:space="0"/>
              <w:right w:val="single" w:color="auto" w:sz="4" w:space="0"/>
            </w:tcBorders>
            <w:noWrap w:val="0"/>
            <w:vAlign w:val="center"/>
          </w:tcPr>
          <w:p w14:paraId="15A0C94A">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1.35元</w:t>
            </w:r>
          </w:p>
        </w:tc>
        <w:tc>
          <w:tcPr>
            <w:tcW w:w="1301" w:type="dxa"/>
            <w:tcBorders>
              <w:top w:val="single" w:color="000000" w:sz="4" w:space="0"/>
              <w:left w:val="single" w:color="auto" w:sz="4" w:space="0"/>
              <w:bottom w:val="single" w:color="000000" w:sz="4" w:space="0"/>
              <w:right w:val="single" w:color="000000" w:sz="4" w:space="0"/>
            </w:tcBorders>
            <w:noWrap w:val="0"/>
            <w:vAlign w:val="center"/>
          </w:tcPr>
          <w:p w14:paraId="3CE10AB3">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一次性</w:t>
            </w:r>
          </w:p>
        </w:tc>
      </w:tr>
      <w:tr w14:paraId="1F6F3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exact"/>
          <w:jc w:val="center"/>
        </w:trPr>
        <w:tc>
          <w:tcPr>
            <w:tcW w:w="8726" w:type="dxa"/>
            <w:gridSpan w:val="6"/>
            <w:tcBorders>
              <w:top w:val="single" w:color="000000" w:sz="4" w:space="0"/>
              <w:left w:val="single" w:color="000000" w:sz="4" w:space="0"/>
              <w:bottom w:val="single" w:color="000000" w:sz="4" w:space="0"/>
              <w:right w:val="single" w:color="000000" w:sz="4" w:space="0"/>
            </w:tcBorders>
            <w:noWrap w:val="0"/>
            <w:vAlign w:val="center"/>
          </w:tcPr>
          <w:p w14:paraId="569C8A2B">
            <w:pPr>
              <w:adjustRightInd w:val="0"/>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shd w:val="clear" w:fill="EEECE1" w:themeFill="background2"/>
                <w:lang w:val="en-US" w:eastAsia="zh-CN"/>
              </w:rPr>
              <w:t>开标时需提供带有独立封装的样品3套</w:t>
            </w:r>
          </w:p>
        </w:tc>
      </w:tr>
    </w:tbl>
    <w:p w14:paraId="0F1AD307">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1、容量：100ml,容量示值最小分度值为5ml，每10ml刻度都标数值。</w:t>
      </w:r>
    </w:p>
    <w:p w14:paraId="122FB2FE">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2、瓶身重量：9g≤单只重量≤15g</w:t>
      </w:r>
    </w:p>
    <w:p w14:paraId="0D1E13D3">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zh-CN" w:eastAsia="zh-CN" w:bidi="ar-SA"/>
        </w:rPr>
        <w:t>“</w:t>
      </w:r>
      <w:r>
        <w:rPr>
          <w:rFonts w:hint="eastAsia" w:ascii="宋体" w:hAnsi="宋体" w:eastAsia="宋体" w:cs="宋体"/>
          <w:b w:val="0"/>
          <w:bCs/>
          <w:kern w:val="2"/>
          <w:sz w:val="24"/>
          <w:szCs w:val="24"/>
          <w:highlight w:val="none"/>
          <w:u w:val="none"/>
          <w:lang w:val="en-US" w:eastAsia="zh-CN" w:bidi="ar-SA"/>
        </w:rPr>
        <w:t>★</w:t>
      </w:r>
      <w:r>
        <w:rPr>
          <w:rFonts w:hint="eastAsia" w:ascii="宋体" w:hAnsi="宋体" w:eastAsia="宋体" w:cs="宋体"/>
          <w:b w:val="0"/>
          <w:bCs/>
          <w:kern w:val="2"/>
          <w:sz w:val="24"/>
          <w:szCs w:val="24"/>
          <w:highlight w:val="none"/>
          <w:u w:val="none"/>
          <w:lang w:val="zh-CN" w:eastAsia="zh-CN" w:bidi="ar-SA"/>
        </w:rPr>
        <w:t>”</w:t>
      </w:r>
      <w:r>
        <w:rPr>
          <w:rFonts w:hint="eastAsia" w:ascii="宋体" w:hAnsi="宋体" w:eastAsia="宋体" w:cs="宋体"/>
          <w:b w:val="0"/>
          <w:bCs/>
          <w:kern w:val="2"/>
          <w:sz w:val="24"/>
          <w:szCs w:val="24"/>
          <w:highlight w:val="none"/>
          <w:u w:val="none"/>
          <w:lang w:val="en-US" w:eastAsia="zh-CN" w:bidi="ar-SA"/>
        </w:rPr>
        <w:t>3、瓶身材质：医用级聚丙烯PP，原料纯新，无任何辅料、无任何添加剂，不含乳胶。不得含其它国家规定检测对人体有害的成分。</w:t>
      </w:r>
    </w:p>
    <w:p w14:paraId="798AE7E8">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奶嘴材质：液体硅橡胶或塑料树脂、十字形开口。液体硅橡胶材质原料须符合GB/T40126-2021《液体硅橡胶 婴儿奶嘴用》相关要求。</w:t>
      </w:r>
    </w:p>
    <w:p w14:paraId="3315EA14">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不含塑化剂，提供第三方检测机构出具的开标前半年内检测报告。</w:t>
      </w:r>
      <w:r>
        <w:rPr>
          <w:rFonts w:hint="eastAsia" w:ascii="宋体" w:hAnsi="宋体" w:eastAsia="宋体" w:cs="宋体"/>
          <w:b/>
          <w:bCs w:val="0"/>
          <w:kern w:val="2"/>
          <w:sz w:val="24"/>
          <w:szCs w:val="24"/>
          <w:highlight w:val="none"/>
          <w:u w:val="none"/>
          <w:lang w:val="en-US" w:eastAsia="zh-CN" w:bidi="ar-SA"/>
        </w:rPr>
        <w:t>（提供和样品批次一致的检测报告）</w:t>
      </w:r>
    </w:p>
    <w:p w14:paraId="3E6D12B9">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不含双酚，提供第三方检测机构出具的开标前半年内检测报告。</w:t>
      </w:r>
      <w:r>
        <w:rPr>
          <w:rFonts w:hint="eastAsia" w:ascii="宋体" w:hAnsi="宋体" w:eastAsia="宋体" w:cs="宋体"/>
          <w:b/>
          <w:bCs w:val="0"/>
          <w:kern w:val="2"/>
          <w:sz w:val="24"/>
          <w:szCs w:val="24"/>
          <w:highlight w:val="none"/>
          <w:u w:val="none"/>
          <w:lang w:val="en-US" w:eastAsia="zh-CN" w:bidi="ar-SA"/>
        </w:rPr>
        <w:t>（提供和样品批次一致的检测报告）</w:t>
      </w:r>
    </w:p>
    <w:p w14:paraId="2766A956">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4、外观：瓶口：圆口，端面平整、无缺口、无飞边毛刺等缺陷。</w:t>
      </w:r>
    </w:p>
    <w:p w14:paraId="46C92C9D">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 xml:space="preserve">  瓶体：高透明度，八角正直瓶体，成型饱满、无变形、色泽及厚薄均匀，无砂眼、无气泡、无生料、无冷斑、无明显划痕、无污点及雾状发白。</w:t>
      </w:r>
    </w:p>
    <w:p w14:paraId="70F7FCA9">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瓶底：边凸内凹，竖放稳定无矮斜，放置稳定。</w:t>
      </w:r>
    </w:p>
    <w:p w14:paraId="434425CA">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▲5、物理性能：-20℃—100℃无变形、无味、密封性能好，无破裂、无渗漏。提供第三方检测机构出具的和样品批次一致的检测报告。</w:t>
      </w:r>
    </w:p>
    <w:p w14:paraId="2958C42B">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▲6、卫生指标符合国家标准要求，提供第三方检测机构出具的和样品批次一致的检测报告。</w:t>
      </w:r>
    </w:p>
    <w:p w14:paraId="07C265FF">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7、感官指标：无异味、异嗅、异物、色泽正常、光洁平整，方便观察液体容量。</w:t>
      </w:r>
    </w:p>
    <w:p w14:paraId="70B27E29">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8、质量：产品质量符合GB38995-2020《婴幼儿用奶瓶和奶嘴》、符合GB15979-2002《一次性使用卫生用品卫生标准》。</w:t>
      </w:r>
    </w:p>
    <w:p w14:paraId="432A86EF">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▲9、包装灭菌：所有灭菌净化测试结果须至少符合国家现行标准GB38995-2020《婴幼儿用奶瓶和奶嘴》，并提供每批次检测报告。（如为环氧乙烷灭菌，要求残留量未检出，提供检测报告）</w:t>
      </w:r>
    </w:p>
    <w:p w14:paraId="6BAB042E">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▲11、包装规格：每套奶瓶独立包装。若为环氧乙烷灭菌的，单个产品采用标准纸塑包装（一面纸，一面塑膜）以便环氧乙烷灭菌后残留的环氧乙烷快速彻底地析出。</w:t>
      </w:r>
    </w:p>
    <w:p w14:paraId="00987136">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12、在服务期内，按照采购人的要求和指定供货地点，采购人每次要求供应商提供货物时，供应商必须在3个日历日内将货物送达指定地点。</w:t>
      </w:r>
    </w:p>
    <w:p w14:paraId="7284E00A">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13、供货商所供物资需按规定时间和数量供货，货物送达采购人指定地点并经验收合格。</w:t>
      </w:r>
    </w:p>
    <w:p w14:paraId="37CE2CB0">
      <w:pPr>
        <w:pStyle w:val="44"/>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备注：要求每次供货需加配本次供货数量10%的独立包装奶嘴。</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5CAF3AA5">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701797E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2"/>
          <w:rFonts w:hint="eastAsia" w:ascii="宋体" w:hAnsi="宋体" w:eastAsia="宋体" w:cs="宋体"/>
          <w:kern w:val="0"/>
          <w:sz w:val="24"/>
          <w:szCs w:val="24"/>
          <w:highlight w:val="none"/>
        </w:rPr>
        <w:t xml:space="preserve"> </w:t>
      </w:r>
    </w:p>
    <w:p w14:paraId="25097154">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2"/>
          <w:rFonts w:hint="eastAsia" w:ascii="宋体" w:hAnsi="宋体" w:eastAsia="宋体" w:cs="宋体"/>
          <w:b/>
          <w:bCs w:val="0"/>
          <w:sz w:val="24"/>
          <w:szCs w:val="24"/>
          <w:highlight w:val="none"/>
          <w:lang w:val="en-US" w:eastAsia="zh-CN"/>
        </w:rPr>
        <w:t>响应文件正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w:t>
      </w:r>
      <w:r>
        <w:rPr>
          <w:rStyle w:val="32"/>
          <w:rFonts w:hint="eastAsia" w:ascii="宋体" w:hAnsi="宋体" w:cs="宋体"/>
          <w:b/>
          <w:bCs/>
          <w:kern w:val="0"/>
          <w:sz w:val="24"/>
          <w:szCs w:val="24"/>
          <w:highlight w:val="none"/>
          <w:lang w:val="en-US" w:eastAsia="zh-CN"/>
        </w:rPr>
        <w:t>响应文件</w:t>
      </w:r>
      <w:r>
        <w:rPr>
          <w:rStyle w:val="32"/>
          <w:rFonts w:hint="eastAsia" w:ascii="宋体" w:hAnsi="宋体" w:eastAsia="宋体" w:cs="宋体"/>
          <w:b/>
          <w:bCs/>
          <w:kern w:val="0"/>
          <w:sz w:val="24"/>
          <w:szCs w:val="24"/>
          <w:highlight w:val="none"/>
          <w:lang w:val="en-US" w:eastAsia="zh-CN"/>
        </w:rPr>
        <w:t>（U盘）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lang w:eastAsia="zh-CN"/>
        </w:rPr>
        <w:t>启封时间、</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lang w:eastAsia="zh-CN"/>
        </w:rPr>
        <w:t>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val="en-US" w:eastAsia="zh-CN"/>
        </w:rPr>
        <w:t>供应商</w:t>
      </w:r>
      <w:r>
        <w:rPr>
          <w:rStyle w:val="32"/>
          <w:rFonts w:hint="eastAsia" w:ascii="宋体" w:hAnsi="宋体" w:eastAsia="宋体" w:cs="宋体"/>
          <w:kern w:val="0"/>
          <w:sz w:val="24"/>
          <w:szCs w:val="24"/>
          <w:highlight w:val="none"/>
        </w:rPr>
        <w:t>在</w:t>
      </w:r>
      <w:r>
        <w:rPr>
          <w:rStyle w:val="32"/>
          <w:rFonts w:hint="eastAsia" w:ascii="宋体" w:hAnsi="宋体" w:cs="宋体"/>
          <w:kern w:val="0"/>
          <w:sz w:val="24"/>
          <w:szCs w:val="24"/>
          <w:highlight w:val="none"/>
          <w:lang w:val="en-US" w:eastAsia="zh-CN"/>
        </w:rPr>
        <w:t>响应文件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595C065C">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有效期延长至合同执行完毕。</w:t>
      </w:r>
    </w:p>
    <w:p w14:paraId="57C71D85">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招标</w:t>
      </w:r>
      <w:r>
        <w:rPr>
          <w:rFonts w:hint="eastAsia" w:ascii="宋体" w:hAnsi="宋体" w:cs="宋体"/>
          <w:b/>
          <w:bCs/>
          <w:color w:val="FF0000"/>
          <w:sz w:val="24"/>
          <w:szCs w:val="24"/>
          <w:highlight w:val="none"/>
          <w:lang w:val="en-US" w:eastAsia="zh-CN"/>
        </w:rPr>
        <w:t>活动继续</w:t>
      </w:r>
      <w:r>
        <w:rPr>
          <w:rFonts w:hint="eastAsia" w:ascii="宋体" w:hAnsi="宋体" w:eastAsia="宋体" w:cs="宋体"/>
          <w:b/>
          <w:bCs/>
          <w:color w:val="FF0000"/>
          <w:sz w:val="24"/>
          <w:szCs w:val="24"/>
          <w:highlight w:val="none"/>
        </w:rPr>
        <w:t>。</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1"/>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75"/>
        <w:gridCol w:w="8295"/>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4DA0224A">
            <w:pPr>
              <w:keepNext w:val="0"/>
              <w:keepLines w:val="0"/>
              <w:pageBreakBefore w:val="0"/>
              <w:kinsoku/>
              <w:wordWrap/>
              <w:overflowPunct/>
              <w:topLinePunct w:val="0"/>
              <w:autoSpaceDE/>
              <w:autoSpaceDN/>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仿宋" w:hAnsi="仿宋" w:eastAsia="仿宋" w:cs="仿宋"/>
                <w:b/>
                <w:bCs/>
                <w:sz w:val="24"/>
                <w:szCs w:val="24"/>
              </w:rPr>
              <w:t>评标因素</w:t>
            </w:r>
          </w:p>
        </w:tc>
        <w:tc>
          <w:tcPr>
            <w:tcW w:w="1075" w:type="dxa"/>
            <w:tcBorders>
              <w:top w:val="single" w:color="auto" w:sz="4" w:space="0"/>
              <w:left w:val="single" w:color="auto" w:sz="4" w:space="0"/>
              <w:right w:val="single" w:color="auto" w:sz="4" w:space="0"/>
            </w:tcBorders>
            <w:noWrap w:val="0"/>
            <w:vAlign w:val="center"/>
          </w:tcPr>
          <w:p w14:paraId="639138CF">
            <w:pPr>
              <w:keepNext w:val="0"/>
              <w:keepLines w:val="0"/>
              <w:pageBreakBefore w:val="0"/>
              <w:kinsoku/>
              <w:wordWrap/>
              <w:overflowPunct/>
              <w:topLinePunct w:val="0"/>
              <w:autoSpaceDE/>
              <w:autoSpaceDN/>
              <w:bidi w:val="0"/>
              <w:adjustRightInd w:val="0"/>
              <w:snapToGrid w:val="0"/>
              <w:spacing w:line="420" w:lineRule="exact"/>
              <w:jc w:val="center"/>
              <w:rPr>
                <w:rFonts w:hint="eastAsia" w:ascii="仿宋" w:hAnsi="仿宋" w:eastAsia="仿宋" w:cs="仿宋"/>
                <w:b/>
                <w:bCs/>
                <w:sz w:val="24"/>
                <w:szCs w:val="24"/>
              </w:rPr>
            </w:pPr>
            <w:r>
              <w:rPr>
                <w:rFonts w:hint="eastAsia" w:ascii="仿宋" w:hAnsi="仿宋" w:eastAsia="仿宋" w:cs="仿宋"/>
                <w:b/>
                <w:bCs/>
                <w:sz w:val="24"/>
                <w:szCs w:val="24"/>
              </w:rPr>
              <w:t>分值</w:t>
            </w:r>
          </w:p>
          <w:p w14:paraId="2D520D35">
            <w:pPr>
              <w:keepNext w:val="0"/>
              <w:keepLines w:val="0"/>
              <w:pageBreakBefore w:val="0"/>
              <w:kinsoku/>
              <w:wordWrap/>
              <w:overflowPunct/>
              <w:topLinePunct w:val="0"/>
              <w:autoSpaceDE/>
              <w:autoSpaceDN/>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仿宋" w:hAnsi="仿宋" w:eastAsia="仿宋" w:cs="仿宋"/>
                <w:b/>
                <w:bCs/>
                <w:sz w:val="24"/>
                <w:szCs w:val="24"/>
              </w:rPr>
              <w:t>（分）</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3F404BEB">
            <w:pPr>
              <w:keepNext w:val="0"/>
              <w:keepLines w:val="0"/>
              <w:pageBreakBefore w:val="0"/>
              <w:kinsoku/>
              <w:wordWrap/>
              <w:overflowPunct/>
              <w:topLinePunct w:val="0"/>
              <w:autoSpaceDE/>
              <w:autoSpaceDN/>
              <w:bidi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仿宋" w:hAnsi="仿宋" w:eastAsia="仿宋" w:cs="仿宋"/>
                <w:b/>
                <w:bCs/>
                <w:sz w:val="24"/>
                <w:szCs w:val="24"/>
              </w:rPr>
              <w:t>评价要素</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09528DF6">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auto"/>
                <w:sz w:val="24"/>
                <w:szCs w:val="24"/>
                <w:highlight w:val="none"/>
                <w:lang w:val="en-US" w:eastAsia="zh-CN"/>
              </w:rPr>
            </w:pPr>
            <w:r>
              <w:rPr>
                <w:rFonts w:hint="eastAsia" w:ascii="仿宋" w:hAnsi="仿宋" w:eastAsia="仿宋" w:cs="仿宋"/>
                <w:sz w:val="24"/>
                <w:szCs w:val="24"/>
                <w:highlight w:val="none"/>
              </w:rPr>
              <w:t>价格</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08082FF">
            <w:pPr>
              <w:keepNext w:val="0"/>
              <w:keepLines w:val="0"/>
              <w:pageBreakBefore w:val="0"/>
              <w:kinsoku/>
              <w:wordWrap/>
              <w:overflowPunct/>
              <w:topLinePunct w:val="0"/>
              <w:autoSpaceDE/>
              <w:autoSpaceDN/>
              <w:bidi w:val="0"/>
              <w:snapToGrid w:val="0"/>
              <w:spacing w:line="420" w:lineRule="exact"/>
              <w:jc w:val="center"/>
              <w:rPr>
                <w:rFonts w:hint="default" w:ascii="宋体" w:hAnsi="宋体" w:eastAsia="宋体" w:cs="宋体"/>
                <w:color w:val="000000"/>
                <w:sz w:val="24"/>
                <w:szCs w:val="24"/>
                <w:highlight w:val="none"/>
                <w:lang w:val="en-US" w:eastAsia="zh-CN"/>
              </w:rPr>
            </w:pPr>
            <w:r>
              <w:rPr>
                <w:rFonts w:hint="eastAsia" w:ascii="仿宋" w:hAnsi="仿宋" w:eastAsia="仿宋" w:cs="仿宋"/>
                <w:sz w:val="24"/>
                <w:szCs w:val="24"/>
                <w:highlight w:val="none"/>
                <w:lang w:val="en-US" w:eastAsia="zh-CN"/>
              </w:rPr>
              <w:t>30</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266E841F">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00000"/>
                <w:sz w:val="24"/>
                <w:szCs w:val="24"/>
                <w:highlight w:val="none"/>
                <w:lang w:val="en-US" w:eastAsia="zh-CN"/>
              </w:rPr>
            </w:pPr>
            <w:r>
              <w:rPr>
                <w:rFonts w:hint="eastAsia" w:ascii="仿宋" w:hAnsi="仿宋" w:eastAsia="仿宋" w:cs="仿宋"/>
                <w:sz w:val="24"/>
                <w:szCs w:val="24"/>
                <w:highlight w:val="none"/>
              </w:rPr>
              <w:t>满足</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要求且投标价格最低的</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报价为评标基准价，其价格分为满分。其他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的价格分统一按照下列公式计算：投标报价得分=（评标基准价/投标报价）×投标报价总分</w:t>
            </w:r>
          </w:p>
        </w:tc>
      </w:tr>
      <w:tr w14:paraId="65D2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tcBorders>
              <w:top w:val="single" w:color="auto" w:sz="4" w:space="0"/>
              <w:left w:val="single" w:color="auto" w:sz="4" w:space="0"/>
              <w:right w:val="single" w:color="auto" w:sz="4" w:space="0"/>
            </w:tcBorders>
            <w:noWrap w:val="0"/>
            <w:vAlign w:val="center"/>
          </w:tcPr>
          <w:p w14:paraId="339C2B1A">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rPr>
              <w:t>技术指标和配置</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D66CAB5">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highlight w:val="none"/>
                <w:lang w:val="en-US" w:eastAsia="zh-CN"/>
              </w:rPr>
              <w:t>8</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16235779">
            <w:pPr>
              <w:keepNext w:val="0"/>
              <w:keepLines w:val="0"/>
              <w:pageBreakBefore w:val="0"/>
              <w:widowControl w:val="0"/>
              <w:kinsoku/>
              <w:wordWrap/>
              <w:overflowPunct/>
              <w:topLinePunct w:val="0"/>
              <w:autoSpaceDE/>
              <w:autoSpaceDN/>
              <w:bidi w:val="0"/>
              <w:adjustRightInd/>
              <w:snapToGrid w:val="0"/>
              <w:spacing w:line="420" w:lineRule="exact"/>
              <w:ind w:right="0" w:rightChars="0" w:firstLine="0" w:firstLineChars="0"/>
              <w:textAlignment w:val="auto"/>
              <w:rPr>
                <w:rFonts w:hint="eastAsia" w:ascii="宋体" w:hAnsi="宋体" w:eastAsia="宋体" w:cs="宋体"/>
                <w:b w:val="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产品的基本功能、产品技术参数和配置完全满足或优于磋商文件要求的，得满分8分；其中“▲”标注参数为重要技术参数。每负偏离一项扣2分，直至本项扣完为止；非“▲”参数为一般参数，每负偏离一项扣1分，直至本项扣完为止。（佐证材料需提供检测报告等证明材料，证明材料需加盖公章，未提供相关证明材料不得分）</w:t>
            </w:r>
          </w:p>
        </w:tc>
      </w:tr>
      <w:tr w14:paraId="54BF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tcBorders>
              <w:left w:val="single" w:color="auto" w:sz="4" w:space="0"/>
              <w:right w:val="single" w:color="auto" w:sz="4" w:space="0"/>
            </w:tcBorders>
            <w:noWrap w:val="0"/>
            <w:vAlign w:val="center"/>
          </w:tcPr>
          <w:p w14:paraId="76BE80DC">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auto"/>
                <w:sz w:val="24"/>
                <w:szCs w:val="24"/>
                <w:highlight w:val="none"/>
                <w:lang w:val="zh-CN"/>
              </w:rPr>
            </w:pPr>
            <w:r>
              <w:rPr>
                <w:rFonts w:hint="eastAsia" w:ascii="仿宋" w:hAnsi="仿宋" w:eastAsia="仿宋" w:cs="仿宋"/>
                <w:sz w:val="24"/>
                <w:highlight w:val="none"/>
              </w:rPr>
              <w:t>产品</w:t>
            </w:r>
            <w:r>
              <w:rPr>
                <w:rFonts w:hint="eastAsia" w:ascii="仿宋" w:hAnsi="仿宋" w:eastAsia="仿宋" w:cs="仿宋"/>
                <w:sz w:val="24"/>
                <w:szCs w:val="24"/>
                <w:highlight w:val="none"/>
                <w:lang w:val="en-US" w:eastAsia="zh-CN"/>
              </w:rPr>
              <w:t>可靠性</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7E3E98F">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highlight w:val="none"/>
                <w:lang w:val="en-US" w:eastAsia="zh-CN"/>
              </w:rPr>
              <w:t>9</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78788D9E">
            <w:pPr>
              <w:keepNext w:val="0"/>
              <w:keepLines w:val="0"/>
              <w:pageBreakBefore w:val="0"/>
              <w:kinsoku/>
              <w:wordWrap/>
              <w:overflowPunct/>
              <w:topLinePunct w:val="0"/>
              <w:autoSpaceDE/>
              <w:autoSpaceDN/>
              <w:bidi w:val="0"/>
              <w:snapToGrid w:val="0"/>
              <w:spacing w:line="42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根据各供应商提供的</w:t>
            </w:r>
            <w:r>
              <w:rPr>
                <w:rFonts w:hint="eastAsia" w:ascii="仿宋" w:hAnsi="仿宋" w:eastAsia="仿宋" w:cs="仿宋"/>
                <w:sz w:val="24"/>
                <w:szCs w:val="24"/>
                <w:highlight w:val="none"/>
                <w:lang w:val="en-US" w:eastAsia="zh-CN"/>
              </w:rPr>
              <w:t>产品可靠性</w:t>
            </w:r>
            <w:r>
              <w:rPr>
                <w:rFonts w:hint="eastAsia" w:ascii="仿宋" w:hAnsi="仿宋" w:eastAsia="仿宋" w:cs="仿宋"/>
                <w:sz w:val="24"/>
                <w:szCs w:val="24"/>
                <w:highlight w:val="none"/>
              </w:rPr>
              <w:t>方案包括</w:t>
            </w:r>
            <w:r>
              <w:rPr>
                <w:rFonts w:hint="eastAsia" w:ascii="仿宋" w:hAnsi="仿宋" w:eastAsia="仿宋" w:cs="仿宋"/>
                <w:sz w:val="24"/>
                <w:szCs w:val="24"/>
                <w:highlight w:val="none"/>
                <w:lang w:val="en-US" w:eastAsia="zh-CN"/>
              </w:rPr>
              <w:t>①产品工艺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②</w:t>
            </w:r>
            <w:r>
              <w:rPr>
                <w:rFonts w:hint="eastAsia" w:ascii="仿宋" w:hAnsi="仿宋" w:eastAsia="仿宋" w:cs="仿宋"/>
                <w:sz w:val="24"/>
                <w:highlight w:val="none"/>
              </w:rPr>
              <w:t>产品生产流程</w:t>
            </w:r>
            <w:r>
              <w:rPr>
                <w:rFonts w:hint="eastAsia" w:ascii="仿宋" w:hAnsi="仿宋" w:eastAsia="仿宋" w:cs="仿宋"/>
                <w:sz w:val="24"/>
                <w:highlight w:val="none"/>
                <w:lang w:eastAsia="zh-CN"/>
              </w:rPr>
              <w:t>、</w:t>
            </w:r>
            <w:r>
              <w:rPr>
                <w:rFonts w:hint="eastAsia" w:ascii="仿宋" w:hAnsi="仿宋" w:eastAsia="仿宋" w:cs="仿宋"/>
                <w:sz w:val="24"/>
                <w:szCs w:val="24"/>
                <w:highlight w:val="none"/>
                <w:lang w:val="en-US" w:eastAsia="zh-CN"/>
              </w:rPr>
              <w:t>制作工艺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③</w:t>
            </w:r>
            <w:r>
              <w:rPr>
                <w:rFonts w:hint="eastAsia" w:ascii="仿宋" w:hAnsi="仿宋" w:eastAsia="仿宋" w:cs="仿宋"/>
                <w:sz w:val="24"/>
                <w:highlight w:val="none"/>
              </w:rPr>
              <w:t>投标产品的设计、</w:t>
            </w:r>
            <w:r>
              <w:rPr>
                <w:rFonts w:hint="eastAsia" w:ascii="仿宋" w:hAnsi="仿宋" w:eastAsia="仿宋" w:cs="仿宋"/>
                <w:sz w:val="24"/>
                <w:highlight w:val="none"/>
                <w:lang w:val="en-US" w:eastAsia="zh-CN"/>
              </w:rPr>
              <w:t>美观性、环保性、</w:t>
            </w:r>
            <w:r>
              <w:rPr>
                <w:rFonts w:hint="eastAsia" w:ascii="仿宋" w:hAnsi="仿宋" w:eastAsia="仿宋" w:cs="仿宋"/>
                <w:sz w:val="24"/>
                <w:highlight w:val="none"/>
              </w:rPr>
              <w:t>耐用性情况</w:t>
            </w:r>
            <w:r>
              <w:rPr>
                <w:rFonts w:hint="eastAsia" w:ascii="仿宋" w:hAnsi="仿宋" w:eastAsia="仿宋" w:cs="仿宋"/>
                <w:sz w:val="24"/>
                <w:szCs w:val="24"/>
                <w:highlight w:val="none"/>
                <w:lang w:eastAsia="zh-CN"/>
              </w:rPr>
              <w:t>；</w:t>
            </w:r>
          </w:p>
          <w:p w14:paraId="228A617F">
            <w:pPr>
              <w:keepNext w:val="0"/>
              <w:keepLines w:val="0"/>
              <w:pageBreakBefore w:val="0"/>
              <w:widowControl w:val="0"/>
              <w:kinsoku/>
              <w:wordWrap/>
              <w:overflowPunct w:val="0"/>
              <w:topLinePunct w:val="0"/>
              <w:autoSpaceDE/>
              <w:autoSpaceDN/>
              <w:bidi w:val="0"/>
              <w:adjustRightInd w:val="0"/>
              <w:snapToGrid w:val="0"/>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要求：方案各项内容全面详细、阐述条理清晰得满分，每有一项缺项扣3分，每有一项内容存在缺陷，扣1分，扣完为止。</w:t>
            </w:r>
          </w:p>
          <w:p w14:paraId="48D6FE2C">
            <w:pPr>
              <w:keepNext w:val="0"/>
              <w:keepLines w:val="0"/>
              <w:pageBreakBefore w:val="0"/>
              <w:widowControl w:val="0"/>
              <w:kinsoku/>
              <w:wordWrap/>
              <w:overflowPunct/>
              <w:topLinePunct w:val="0"/>
              <w:autoSpaceDE/>
              <w:autoSpaceDN/>
              <w:bidi w:val="0"/>
              <w:adjustRightInd/>
              <w:snapToGrid w:val="0"/>
              <w:spacing w:line="420" w:lineRule="exact"/>
              <w:ind w:right="0" w:rightChars="0" w:firstLine="0" w:firstLineChars="0"/>
              <w:textAlignment w:val="auto"/>
              <w:rPr>
                <w:rFonts w:hint="eastAsia" w:ascii="宋体" w:hAnsi="宋体" w:eastAsia="宋体" w:cs="宋体"/>
                <w:b/>
                <w:color w:val="000000"/>
                <w:kern w:val="0"/>
                <w:sz w:val="24"/>
                <w:szCs w:val="24"/>
                <w:highlight w:val="none"/>
                <w:lang w:val="zh-CN" w:eastAsia="zh-CN" w:bidi="ar-SA"/>
              </w:rPr>
            </w:pPr>
            <w:r>
              <w:rPr>
                <w:rFonts w:hint="eastAsia" w:ascii="仿宋" w:hAnsi="仿宋" w:eastAsia="仿宋" w:cs="仿宋"/>
                <w:color w:val="auto"/>
                <w:sz w:val="24"/>
                <w:szCs w:val="24"/>
                <w:highlight w:val="none"/>
                <w:lang w:val="en-US" w:eastAsia="zh-CN"/>
              </w:rPr>
              <w:t>备注说明：缺陷是指内容不合理、虽有内容但不完善、内容表述前后不一致、套用其他项目方案或与项目需求不匹配及其他不利于项目实施的等任意一种情形。</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tcBorders>
              <w:left w:val="single" w:color="auto" w:sz="4" w:space="0"/>
              <w:right w:val="single" w:color="auto" w:sz="4" w:space="0"/>
            </w:tcBorders>
            <w:noWrap w:val="0"/>
            <w:vAlign w:val="center"/>
          </w:tcPr>
          <w:p w14:paraId="1F0BA6A6">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auto"/>
                <w:sz w:val="24"/>
                <w:szCs w:val="24"/>
                <w:highlight w:val="none"/>
                <w:lang w:val="zh-CN"/>
              </w:rPr>
            </w:pPr>
            <w:r>
              <w:rPr>
                <w:rFonts w:hint="eastAsia" w:ascii="仿宋" w:hAnsi="仿宋" w:eastAsia="仿宋" w:cs="仿宋"/>
                <w:sz w:val="24"/>
                <w:szCs w:val="24"/>
                <w:highlight w:val="none"/>
              </w:rPr>
              <w:t>供货方案</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10CF436">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highlight w:val="none"/>
                <w:lang w:val="en-US" w:eastAsia="zh-CN"/>
              </w:rPr>
              <w:t>12</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659401A2">
            <w:pPr>
              <w:keepNext w:val="0"/>
              <w:keepLines w:val="0"/>
              <w:pageBreakBefore w:val="0"/>
              <w:kinsoku/>
              <w:wordWrap/>
              <w:overflowPunct/>
              <w:topLinePunct w:val="0"/>
              <w:autoSpaceDE/>
              <w:autoSpaceDN/>
              <w:bidi w:val="0"/>
              <w:snapToGrid w:val="0"/>
              <w:spacing w:line="42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根据各供应商提供的</w:t>
            </w:r>
            <w:r>
              <w:rPr>
                <w:rFonts w:hint="eastAsia" w:ascii="仿宋" w:hAnsi="仿宋" w:eastAsia="仿宋" w:cs="仿宋"/>
                <w:sz w:val="24"/>
                <w:szCs w:val="24"/>
                <w:highlight w:val="none"/>
                <w:lang w:val="en-US" w:eastAsia="zh-CN"/>
              </w:rPr>
              <w:t>供货</w:t>
            </w:r>
            <w:r>
              <w:rPr>
                <w:rFonts w:hint="eastAsia" w:ascii="仿宋" w:hAnsi="仿宋" w:eastAsia="仿宋" w:cs="仿宋"/>
                <w:sz w:val="24"/>
                <w:szCs w:val="24"/>
                <w:highlight w:val="none"/>
              </w:rPr>
              <w:t>方案包括</w:t>
            </w:r>
            <w:r>
              <w:rPr>
                <w:rFonts w:hint="eastAsia" w:ascii="仿宋" w:hAnsi="仿宋" w:eastAsia="仿宋" w:cs="仿宋"/>
                <w:sz w:val="24"/>
                <w:szCs w:val="24"/>
                <w:highlight w:val="none"/>
                <w:lang w:val="en-US" w:eastAsia="zh-CN"/>
              </w:rPr>
              <w:t>①具体的供货组织计划；②配送人员（人员具备健康证和劳动合同等证明材料）和车辆；③产品的运输方式；④货物发放、调配更换等实施组织措施。</w:t>
            </w:r>
          </w:p>
          <w:p w14:paraId="356A0AFE">
            <w:pPr>
              <w:keepNext w:val="0"/>
              <w:keepLines w:val="0"/>
              <w:pageBreakBefore w:val="0"/>
              <w:widowControl w:val="0"/>
              <w:kinsoku/>
              <w:wordWrap/>
              <w:overflowPunct w:val="0"/>
              <w:topLinePunct w:val="0"/>
              <w:autoSpaceDE/>
              <w:autoSpaceDN/>
              <w:bidi w:val="0"/>
              <w:adjustRightInd w:val="0"/>
              <w:snapToGrid w:val="0"/>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要求：方案各项内容全面详细、阐述条理清晰得满分，每有一项缺项扣3分，每有一项内容存在缺陷，扣1分，扣完为止。</w:t>
            </w:r>
          </w:p>
          <w:p w14:paraId="768B2A62">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color w:val="auto"/>
                <w:sz w:val="24"/>
                <w:szCs w:val="24"/>
                <w:highlight w:val="none"/>
                <w:lang w:val="en-US" w:eastAsia="zh-CN"/>
              </w:rPr>
              <w:t>备注说明：缺陷是指内容不合理、虽有内容但不完善、内容表述前后不一致、套用其他项目方案或与项目需求不匹配及其他不利于项目实施的等任意一种情形。</w:t>
            </w:r>
          </w:p>
        </w:tc>
      </w:tr>
      <w:tr w14:paraId="5F76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tcBorders>
              <w:left w:val="single" w:color="auto" w:sz="4" w:space="0"/>
              <w:bottom w:val="single" w:color="auto" w:sz="4" w:space="0"/>
              <w:right w:val="single" w:color="auto" w:sz="4" w:space="0"/>
            </w:tcBorders>
            <w:noWrap w:val="0"/>
            <w:vAlign w:val="center"/>
          </w:tcPr>
          <w:p w14:paraId="20B0DF6D">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auto"/>
                <w:sz w:val="24"/>
                <w:szCs w:val="24"/>
                <w:highlight w:val="none"/>
                <w:lang w:val="zh-CN"/>
              </w:rPr>
            </w:pPr>
            <w:r>
              <w:rPr>
                <w:rFonts w:hint="eastAsia" w:ascii="仿宋" w:hAnsi="仿宋" w:eastAsia="仿宋" w:cs="仿宋"/>
                <w:sz w:val="24"/>
                <w:szCs w:val="24"/>
                <w:highlight w:val="none"/>
                <w:lang w:val="en-US" w:eastAsia="zh-CN"/>
              </w:rPr>
              <w:t>质量保证</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3E0FCC2B">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highlight w:val="none"/>
                <w:lang w:val="en-US" w:eastAsia="zh-CN"/>
              </w:rPr>
              <w:t>3</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14D4A434">
            <w:pPr>
              <w:keepNext w:val="0"/>
              <w:keepLines w:val="0"/>
              <w:pageBreakBefore w:val="0"/>
              <w:kinsoku/>
              <w:wordWrap/>
              <w:overflowPunct/>
              <w:topLinePunct w:val="0"/>
              <w:autoSpaceDE/>
              <w:autoSpaceDN/>
              <w:bidi w:val="0"/>
              <w:snapToGrid w:val="0"/>
              <w:spacing w:line="420" w:lineRule="exact"/>
              <w:rPr>
                <w:rFonts w:hint="eastAsia" w:ascii="仿宋" w:hAnsi="仿宋" w:eastAsia="仿宋" w:cs="仿宋"/>
                <w:caps w:val="0"/>
                <w:smallCaps w:val="0"/>
                <w:spacing w:val="0"/>
                <w:sz w:val="24"/>
                <w:szCs w:val="24"/>
                <w:highlight w:val="none"/>
                <w:lang w:val="en-US" w:eastAsia="zh-CN"/>
              </w:rPr>
            </w:pPr>
            <w:r>
              <w:rPr>
                <w:rFonts w:hint="eastAsia" w:ascii="仿宋" w:hAnsi="仿宋" w:eastAsia="仿宋" w:cs="仿宋"/>
                <w:caps w:val="0"/>
                <w:smallCaps w:val="0"/>
                <w:spacing w:val="0"/>
                <w:sz w:val="24"/>
                <w:szCs w:val="24"/>
                <w:highlight w:val="none"/>
                <w:lang w:val="en-US" w:eastAsia="zh-CN"/>
              </w:rPr>
              <w:t>产品进货渠道正规，并能够提供产品说明书等相关资料。质量保证，确保生产供应的产品无假货，提供的投标产品合法来源渠道证明文件齐全，优于国家标准；得3分；</w:t>
            </w:r>
          </w:p>
          <w:p w14:paraId="4DEEB7AF">
            <w:pPr>
              <w:keepNext w:val="0"/>
              <w:keepLines w:val="0"/>
              <w:pageBreakBefore w:val="0"/>
              <w:kinsoku/>
              <w:wordWrap/>
              <w:overflowPunct/>
              <w:topLinePunct w:val="0"/>
              <w:autoSpaceDE/>
              <w:autoSpaceDN/>
              <w:bidi w:val="0"/>
              <w:snapToGrid w:val="0"/>
              <w:spacing w:line="420" w:lineRule="exact"/>
              <w:rPr>
                <w:rFonts w:hint="eastAsia" w:ascii="仿宋" w:hAnsi="仿宋" w:eastAsia="仿宋" w:cs="仿宋"/>
                <w:caps w:val="0"/>
                <w:smallCaps w:val="0"/>
                <w:spacing w:val="0"/>
                <w:sz w:val="24"/>
                <w:szCs w:val="24"/>
                <w:highlight w:val="none"/>
                <w:lang w:val="en-US" w:eastAsia="zh-CN"/>
              </w:rPr>
            </w:pPr>
            <w:r>
              <w:rPr>
                <w:rFonts w:hint="eastAsia" w:ascii="仿宋" w:hAnsi="仿宋" w:eastAsia="仿宋" w:cs="仿宋"/>
                <w:caps w:val="0"/>
                <w:smallCaps w:val="0"/>
                <w:spacing w:val="0"/>
                <w:sz w:val="24"/>
                <w:szCs w:val="24"/>
                <w:highlight w:val="none"/>
                <w:lang w:val="en-US" w:eastAsia="zh-CN"/>
              </w:rPr>
              <w:t>产品来源渠道证明文件齐全，符合国家标准得2分；</w:t>
            </w:r>
          </w:p>
          <w:p w14:paraId="21703894">
            <w:pPr>
              <w:keepNext w:val="0"/>
              <w:keepLines w:val="0"/>
              <w:pageBreakBefore w:val="0"/>
              <w:kinsoku/>
              <w:wordWrap/>
              <w:overflowPunct/>
              <w:topLinePunct w:val="0"/>
              <w:autoSpaceDE/>
              <w:autoSpaceDN/>
              <w:bidi w:val="0"/>
              <w:snapToGrid w:val="0"/>
              <w:spacing w:line="420" w:lineRule="exact"/>
              <w:rPr>
                <w:rFonts w:hint="eastAsia" w:ascii="仿宋" w:hAnsi="仿宋" w:eastAsia="仿宋" w:cs="仿宋"/>
                <w:caps w:val="0"/>
                <w:smallCaps w:val="0"/>
                <w:spacing w:val="0"/>
                <w:sz w:val="24"/>
                <w:szCs w:val="24"/>
                <w:highlight w:val="none"/>
                <w:lang w:val="en-US" w:eastAsia="zh-CN"/>
              </w:rPr>
            </w:pPr>
            <w:r>
              <w:rPr>
                <w:rFonts w:hint="eastAsia" w:ascii="仿宋" w:hAnsi="仿宋" w:eastAsia="仿宋" w:cs="仿宋"/>
                <w:caps w:val="0"/>
                <w:smallCaps w:val="0"/>
                <w:spacing w:val="0"/>
                <w:sz w:val="24"/>
                <w:szCs w:val="24"/>
                <w:highlight w:val="none"/>
                <w:lang w:val="en-US" w:eastAsia="zh-CN"/>
              </w:rPr>
              <w:t>产品来源渠道证明文件较少，得1分；</w:t>
            </w:r>
          </w:p>
          <w:p w14:paraId="3C4B9DCE">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caps w:val="0"/>
                <w:smallCaps w:val="0"/>
                <w:spacing w:val="0"/>
                <w:sz w:val="24"/>
                <w:szCs w:val="24"/>
                <w:highlight w:val="none"/>
                <w:lang w:val="en-US" w:eastAsia="zh-CN"/>
              </w:rPr>
              <w:t>未提供得0分。</w:t>
            </w:r>
          </w:p>
        </w:tc>
      </w:tr>
      <w:tr w14:paraId="2369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30" w:type="dxa"/>
            <w:tcBorders>
              <w:top w:val="single" w:color="auto" w:sz="4" w:space="0"/>
              <w:left w:val="single" w:color="auto" w:sz="4" w:space="0"/>
              <w:right w:val="single" w:color="auto" w:sz="4" w:space="0"/>
            </w:tcBorders>
            <w:noWrap w:val="0"/>
            <w:vAlign w:val="center"/>
          </w:tcPr>
          <w:p w14:paraId="15311BFE">
            <w:pPr>
              <w:keepNext w:val="0"/>
              <w:keepLines w:val="0"/>
              <w:pageBreakBefore w:val="0"/>
              <w:widowControl/>
              <w:kinsoku/>
              <w:wordWrap/>
              <w:overflowPunct/>
              <w:topLinePunct w:val="0"/>
              <w:autoSpaceDE/>
              <w:autoSpaceDN/>
              <w:bidi w:val="0"/>
              <w:snapToGrid w:val="0"/>
              <w:spacing w:line="420" w:lineRule="exact"/>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highlight w:val="none"/>
                <w:lang w:val="en-US" w:eastAsia="zh-CN" w:bidi="ar"/>
              </w:rPr>
              <w:t>生产能力保证</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C3C08AE">
            <w:pPr>
              <w:keepNext w:val="0"/>
              <w:keepLines w:val="0"/>
              <w:pageBreakBefore w:val="0"/>
              <w:widowControl/>
              <w:kinsoku/>
              <w:wordWrap/>
              <w:overflowPunct/>
              <w:topLinePunct w:val="0"/>
              <w:autoSpaceDE/>
              <w:autoSpaceDN/>
              <w:bidi w:val="0"/>
              <w:snapToGrid w:val="0"/>
              <w:spacing w:line="420" w:lineRule="exact"/>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highlight w:val="none"/>
                <w:lang w:val="en-US" w:eastAsia="zh-CN" w:bidi="ar"/>
              </w:rPr>
              <w:t>8</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53D1FAEF">
            <w:pPr>
              <w:keepNext w:val="0"/>
              <w:keepLines w:val="0"/>
              <w:pageBreakBefore w:val="0"/>
              <w:widowControl/>
              <w:kinsoku/>
              <w:wordWrap/>
              <w:overflowPunct/>
              <w:topLinePunct w:val="0"/>
              <w:autoSpaceDE/>
              <w:autoSpaceDN/>
              <w:bidi w:val="0"/>
              <w:snapToGrid w:val="0"/>
              <w:spacing w:line="42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供应商提供</w:t>
            </w:r>
            <w:r>
              <w:rPr>
                <w:rFonts w:hint="eastAsia" w:ascii="仿宋" w:hAnsi="仿宋" w:eastAsia="仿宋" w:cs="仿宋"/>
                <w:sz w:val="24"/>
                <w:szCs w:val="24"/>
                <w:highlight w:val="none"/>
                <w:lang w:val="en-US" w:eastAsia="zh-CN" w:bidi="ar"/>
              </w:rPr>
              <w:t>生产能力保证方案，</w:t>
            </w:r>
            <w:r>
              <w:rPr>
                <w:rFonts w:hint="eastAsia" w:ascii="仿宋" w:hAnsi="仿宋" w:eastAsia="仿宋" w:cs="仿宋"/>
                <w:color w:val="auto"/>
                <w:sz w:val="24"/>
                <w:szCs w:val="24"/>
                <w:highlight w:val="none"/>
                <w:lang w:val="en-US" w:eastAsia="zh-CN"/>
              </w:rPr>
              <w:t>包括</w:t>
            </w:r>
            <w:r>
              <w:rPr>
                <w:rFonts w:hint="eastAsia" w:ascii="仿宋" w:hAnsi="仿宋" w:eastAsia="仿宋" w:cs="仿宋"/>
                <w:sz w:val="24"/>
                <w:szCs w:val="24"/>
                <w:highlight w:val="none"/>
                <w:lang w:val="en-US" w:eastAsia="zh-CN"/>
              </w:rPr>
              <w:t>①</w:t>
            </w:r>
            <w:r>
              <w:rPr>
                <w:rFonts w:hint="eastAsia" w:ascii="仿宋" w:hAnsi="仿宋" w:eastAsia="仿宋" w:cs="仿宋"/>
                <w:color w:val="auto"/>
                <w:sz w:val="24"/>
                <w:szCs w:val="24"/>
                <w:highlight w:val="none"/>
                <w:lang w:val="en-US" w:eastAsia="zh-CN"/>
              </w:rPr>
              <w:t>生产环境；</w:t>
            </w:r>
            <w:r>
              <w:rPr>
                <w:rFonts w:hint="eastAsia" w:ascii="仿宋" w:hAnsi="仿宋" w:eastAsia="仿宋" w:cs="仿宋"/>
                <w:sz w:val="24"/>
                <w:szCs w:val="24"/>
                <w:highlight w:val="none"/>
                <w:lang w:val="en-US" w:eastAsia="zh-CN"/>
              </w:rPr>
              <w:t>②</w:t>
            </w:r>
            <w:r>
              <w:rPr>
                <w:rFonts w:hint="eastAsia" w:ascii="仿宋" w:hAnsi="仿宋" w:eastAsia="仿宋" w:cs="仿宋"/>
                <w:color w:val="auto"/>
                <w:sz w:val="24"/>
                <w:szCs w:val="24"/>
                <w:highlight w:val="none"/>
                <w:lang w:val="en-US" w:eastAsia="zh-CN"/>
              </w:rPr>
              <w:t>生产流水线；</w:t>
            </w:r>
            <w:r>
              <w:rPr>
                <w:rFonts w:hint="eastAsia" w:ascii="仿宋" w:hAnsi="仿宋" w:eastAsia="仿宋" w:cs="仿宋"/>
                <w:sz w:val="24"/>
                <w:szCs w:val="24"/>
                <w:highlight w:val="none"/>
                <w:lang w:val="en-US" w:eastAsia="zh-CN"/>
              </w:rPr>
              <w:t>③</w:t>
            </w:r>
            <w:r>
              <w:rPr>
                <w:rFonts w:hint="eastAsia" w:ascii="仿宋" w:hAnsi="仿宋" w:eastAsia="仿宋" w:cs="仿宋"/>
                <w:color w:val="auto"/>
                <w:sz w:val="24"/>
                <w:szCs w:val="24"/>
                <w:highlight w:val="none"/>
                <w:lang w:val="en-US" w:eastAsia="zh-CN"/>
              </w:rPr>
              <w:t>主要生产设备的证明材料；</w:t>
            </w:r>
            <w:r>
              <w:rPr>
                <w:rFonts w:hint="eastAsia" w:ascii="仿宋" w:hAnsi="仿宋" w:eastAsia="仿宋" w:cs="仿宋"/>
                <w:sz w:val="24"/>
                <w:szCs w:val="24"/>
                <w:highlight w:val="none"/>
                <w:lang w:val="en-US" w:eastAsia="zh-CN"/>
              </w:rPr>
              <w:t>④仓储环境等</w:t>
            </w:r>
            <w:r>
              <w:rPr>
                <w:rFonts w:hint="eastAsia" w:ascii="仿宋" w:hAnsi="仿宋" w:eastAsia="仿宋" w:cs="仿宋"/>
                <w:color w:val="auto"/>
                <w:sz w:val="24"/>
                <w:szCs w:val="24"/>
                <w:highlight w:val="none"/>
                <w:lang w:val="en-US" w:eastAsia="zh-CN"/>
              </w:rPr>
              <w:t>。</w:t>
            </w:r>
          </w:p>
          <w:p w14:paraId="6CF403D6">
            <w:pPr>
              <w:keepNext w:val="0"/>
              <w:keepLines w:val="0"/>
              <w:pageBreakBefore w:val="0"/>
              <w:widowControl w:val="0"/>
              <w:kinsoku/>
              <w:wordWrap/>
              <w:overflowPunct w:val="0"/>
              <w:topLinePunct w:val="0"/>
              <w:autoSpaceDE/>
              <w:autoSpaceDN/>
              <w:bidi w:val="0"/>
              <w:adjustRightInd w:val="0"/>
              <w:snapToGrid w:val="0"/>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要求：方案各项内容全面详细、阐述条理清晰得满分，每有一项缺项扣2分，每有一项内容存在缺陷，扣1分，扣完为止。</w:t>
            </w:r>
          </w:p>
          <w:p w14:paraId="07EEF91C">
            <w:pPr>
              <w:keepNext w:val="0"/>
              <w:keepLines w:val="0"/>
              <w:pageBreakBefore w:val="0"/>
              <w:widowControl/>
              <w:kinsoku/>
              <w:wordWrap/>
              <w:overflowPunct/>
              <w:topLinePunct w:val="0"/>
              <w:autoSpaceDE/>
              <w:autoSpaceDN/>
              <w:bidi w:val="0"/>
              <w:snapToGrid w:val="0"/>
              <w:spacing w:line="420" w:lineRule="exact"/>
              <w:jc w:val="left"/>
              <w:textAlignment w:val="center"/>
              <w:rPr>
                <w:rFonts w:hint="eastAsia" w:ascii="宋体" w:hAnsi="宋体" w:eastAsia="宋体" w:cs="宋体"/>
                <w:sz w:val="24"/>
                <w:szCs w:val="24"/>
                <w:highlight w:val="none"/>
                <w:lang w:val="en-US" w:eastAsia="zh-CN"/>
              </w:rPr>
            </w:pPr>
            <w:r>
              <w:rPr>
                <w:rFonts w:hint="eastAsia" w:ascii="仿宋" w:hAnsi="仿宋" w:eastAsia="仿宋" w:cs="仿宋"/>
                <w:color w:val="auto"/>
                <w:sz w:val="24"/>
                <w:szCs w:val="24"/>
                <w:highlight w:val="none"/>
                <w:lang w:val="en-US" w:eastAsia="zh-CN"/>
              </w:rPr>
              <w:t>备注说明：缺陷是指内容不合理、虽有内容但不完善、内容表述前后不一致、套用其他项目方案或与项目需求不匹配及其他不利于项目实施的等任意一种情形。</w:t>
            </w:r>
          </w:p>
        </w:tc>
      </w:tr>
      <w:tr w14:paraId="0731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tcBorders>
              <w:left w:val="single" w:color="auto" w:sz="4" w:space="0"/>
              <w:right w:val="single" w:color="auto" w:sz="4" w:space="0"/>
            </w:tcBorders>
            <w:noWrap w:val="0"/>
            <w:vAlign w:val="center"/>
          </w:tcPr>
          <w:p w14:paraId="197847B0">
            <w:pPr>
              <w:keepNext w:val="0"/>
              <w:keepLines w:val="0"/>
              <w:pageBreakBefore w:val="0"/>
              <w:widowControl/>
              <w:kinsoku/>
              <w:wordWrap/>
              <w:overflowPunct/>
              <w:topLinePunct w:val="0"/>
              <w:autoSpaceDE/>
              <w:autoSpaceDN/>
              <w:bidi w:val="0"/>
              <w:snapToGrid w:val="0"/>
              <w:spacing w:line="420" w:lineRule="exact"/>
              <w:jc w:val="center"/>
              <w:textAlignment w:val="center"/>
              <w:rPr>
                <w:rFonts w:hint="eastAsia" w:ascii="宋体" w:hAnsi="宋体" w:eastAsia="宋体" w:cs="宋体"/>
                <w:color w:val="auto"/>
                <w:sz w:val="24"/>
                <w:szCs w:val="24"/>
                <w:highlight w:val="none"/>
                <w:lang w:val="zh-CN"/>
              </w:rPr>
            </w:pPr>
            <w:r>
              <w:rPr>
                <w:rFonts w:hint="eastAsia" w:ascii="仿宋" w:hAnsi="仿宋" w:eastAsia="仿宋" w:cs="仿宋"/>
                <w:sz w:val="24"/>
                <w:szCs w:val="24"/>
                <w:highlight w:val="none"/>
                <w:lang w:bidi="ar"/>
              </w:rPr>
              <w:t>售后服务方案</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C33E71C">
            <w:pPr>
              <w:keepNext w:val="0"/>
              <w:keepLines w:val="0"/>
              <w:pageBreakBefore w:val="0"/>
              <w:widowControl/>
              <w:kinsoku/>
              <w:wordWrap/>
              <w:overflowPunct/>
              <w:topLinePunct w:val="0"/>
              <w:autoSpaceDE/>
              <w:autoSpaceDN/>
              <w:bidi w:val="0"/>
              <w:snapToGrid w:val="0"/>
              <w:spacing w:line="420" w:lineRule="exact"/>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highlight w:val="none"/>
                <w:lang w:val="en-US" w:eastAsia="zh-CN" w:bidi="ar"/>
              </w:rPr>
              <w:t>8</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4702DD63">
            <w:pPr>
              <w:keepNext w:val="0"/>
              <w:keepLines w:val="0"/>
              <w:pageBreakBefore w:val="0"/>
              <w:widowControl/>
              <w:kinsoku/>
              <w:wordWrap/>
              <w:overflowPunct/>
              <w:topLinePunct w:val="0"/>
              <w:autoSpaceDE/>
              <w:autoSpaceDN/>
              <w:bidi w:val="0"/>
              <w:snapToGrid w:val="0"/>
              <w:spacing w:line="420" w:lineRule="exact"/>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针对本项目提供</w:t>
            </w:r>
            <w:r>
              <w:rPr>
                <w:rFonts w:hint="eastAsia" w:ascii="仿宋" w:hAnsi="仿宋" w:eastAsia="仿宋" w:cs="仿宋"/>
                <w:sz w:val="24"/>
                <w:szCs w:val="24"/>
                <w:highlight w:val="none"/>
                <w:lang w:bidi="ar"/>
              </w:rPr>
              <w:t>售后服务方案</w:t>
            </w:r>
            <w:r>
              <w:rPr>
                <w:rFonts w:hint="eastAsia" w:ascii="仿宋" w:hAnsi="仿宋" w:eastAsia="仿宋" w:cs="仿宋"/>
                <w:sz w:val="24"/>
                <w:szCs w:val="24"/>
                <w:highlight w:val="none"/>
              </w:rPr>
              <w:t>包括</w:t>
            </w:r>
            <w:r>
              <w:rPr>
                <w:rFonts w:hint="eastAsia" w:ascii="仿宋" w:hAnsi="仿宋" w:eastAsia="仿宋" w:cs="仿宋"/>
                <w:sz w:val="24"/>
                <w:szCs w:val="24"/>
                <w:highlight w:val="none"/>
                <w:lang w:val="en-US" w:eastAsia="zh-CN"/>
              </w:rPr>
              <w:t>①售后服务人员；②</w:t>
            </w:r>
            <w:r>
              <w:rPr>
                <w:rFonts w:hint="eastAsia" w:ascii="仿宋" w:hAnsi="仿宋" w:eastAsia="仿宋" w:cs="仿宋"/>
                <w:color w:val="auto"/>
                <w:sz w:val="24"/>
                <w:szCs w:val="24"/>
                <w:highlight w:val="none"/>
                <w:lang w:val="en-US" w:eastAsia="zh-CN"/>
              </w:rPr>
              <w:t>车辆</w:t>
            </w:r>
            <w:r>
              <w:rPr>
                <w:rFonts w:hint="eastAsia" w:ascii="仿宋" w:hAnsi="仿宋" w:eastAsia="仿宋" w:cs="仿宋"/>
                <w:sz w:val="24"/>
                <w:szCs w:val="24"/>
                <w:highlight w:val="none"/>
                <w:lang w:val="en-US" w:eastAsia="zh-CN"/>
              </w:rPr>
              <w:t>安排；③服务承诺及响应时间；④产品破损、损坏应对响应措施、包退包换服务方案。</w:t>
            </w:r>
          </w:p>
          <w:p w14:paraId="0182ABB3">
            <w:pPr>
              <w:keepNext w:val="0"/>
              <w:keepLines w:val="0"/>
              <w:pageBreakBefore w:val="0"/>
              <w:widowControl w:val="0"/>
              <w:kinsoku/>
              <w:wordWrap/>
              <w:overflowPunct w:val="0"/>
              <w:topLinePunct w:val="0"/>
              <w:autoSpaceDE/>
              <w:autoSpaceDN/>
              <w:bidi w:val="0"/>
              <w:adjustRightInd w:val="0"/>
              <w:snapToGrid w:val="0"/>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要求：方案各项内容全面详细、阐述条理清晰得满分，每有一项缺项扣2分，每有一项内容存在缺陷，扣1分，扣完为止。</w:t>
            </w:r>
          </w:p>
          <w:p w14:paraId="0119DECE">
            <w:pPr>
              <w:keepNext w:val="0"/>
              <w:keepLines w:val="0"/>
              <w:pageBreakBefore w:val="0"/>
              <w:widowControl/>
              <w:kinsoku/>
              <w:wordWrap/>
              <w:overflowPunct/>
              <w:topLinePunct w:val="0"/>
              <w:autoSpaceDE/>
              <w:autoSpaceDN/>
              <w:bidi w:val="0"/>
              <w:snapToGrid w:val="0"/>
              <w:spacing w:line="420" w:lineRule="exact"/>
              <w:jc w:val="left"/>
              <w:textAlignment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color w:val="auto"/>
                <w:sz w:val="24"/>
                <w:szCs w:val="24"/>
                <w:highlight w:val="none"/>
                <w:lang w:val="en-US" w:eastAsia="zh-CN"/>
              </w:rPr>
              <w:t>备注说明：缺陷是指内容不合理、虽有内容但不完善、内容表述前后不一致、套用其他项目方案或与项目需求不匹配及其他不利于项目实施的等任意一种情形。</w:t>
            </w:r>
          </w:p>
        </w:tc>
      </w:tr>
      <w:tr w14:paraId="5B59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tcBorders>
              <w:left w:val="single" w:color="auto" w:sz="4" w:space="0"/>
              <w:bottom w:val="single" w:color="auto" w:sz="4" w:space="0"/>
              <w:right w:val="single" w:color="auto" w:sz="4" w:space="0"/>
            </w:tcBorders>
            <w:noWrap w:val="0"/>
            <w:vAlign w:val="center"/>
          </w:tcPr>
          <w:p w14:paraId="317135D8">
            <w:pPr>
              <w:keepNext w:val="0"/>
              <w:keepLines w:val="0"/>
              <w:pageBreakBefore w:val="0"/>
              <w:kinsoku/>
              <w:wordWrap/>
              <w:topLinePunct w:val="0"/>
              <w:bidi w:val="0"/>
              <w:spacing w:line="420" w:lineRule="exact"/>
              <w:jc w:val="center"/>
              <w:rPr>
                <w:rFonts w:hint="eastAsia" w:ascii="宋体" w:hAnsi="宋体" w:eastAsia="宋体" w:cs="宋体"/>
                <w:color w:val="auto"/>
                <w:sz w:val="24"/>
                <w:szCs w:val="24"/>
                <w:highlight w:val="none"/>
                <w:lang w:val="zh-CN"/>
              </w:rPr>
            </w:pPr>
            <w:r>
              <w:rPr>
                <w:rFonts w:hint="eastAsia" w:ascii="仿宋" w:hAnsi="仿宋" w:eastAsia="仿宋" w:cs="仿宋"/>
                <w:sz w:val="24"/>
                <w:highlight w:val="none"/>
              </w:rPr>
              <w:t>样品</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1176C24">
            <w:pPr>
              <w:keepNext w:val="0"/>
              <w:keepLines w:val="0"/>
              <w:pageBreakBefore w:val="0"/>
              <w:kinsoku/>
              <w:wordWrap/>
              <w:topLinePunct w:val="0"/>
              <w:bidi w:val="0"/>
              <w:spacing w:line="420" w:lineRule="exact"/>
              <w:jc w:val="center"/>
              <w:rPr>
                <w:rFonts w:hint="eastAsia" w:ascii="宋体" w:hAnsi="宋体" w:eastAsia="宋体" w:cs="宋体"/>
                <w:color w:val="000000"/>
                <w:sz w:val="24"/>
                <w:szCs w:val="24"/>
                <w:highlight w:val="none"/>
              </w:rPr>
            </w:pPr>
            <w:r>
              <w:rPr>
                <w:rFonts w:hint="eastAsia" w:ascii="仿宋" w:hAnsi="仿宋" w:eastAsia="仿宋" w:cs="仿宋"/>
                <w:sz w:val="24"/>
                <w:highlight w:val="none"/>
                <w:lang w:val="en-US" w:eastAsia="zh-CN"/>
              </w:rPr>
              <w:t>8</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601BCA63">
            <w:pPr>
              <w:keepNext w:val="0"/>
              <w:keepLines w:val="0"/>
              <w:pageBreakBefore w:val="0"/>
              <w:kinsoku/>
              <w:wordWrap/>
              <w:topLinePunct w:val="0"/>
              <w:bidi w:val="0"/>
              <w:spacing w:line="42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根据供应商提供</w:t>
            </w:r>
            <w:r>
              <w:rPr>
                <w:rFonts w:hint="eastAsia" w:ascii="仿宋" w:hAnsi="仿宋" w:eastAsia="仿宋" w:cs="仿宋"/>
                <w:sz w:val="24"/>
                <w:highlight w:val="none"/>
              </w:rPr>
              <w:t>样品</w:t>
            </w:r>
            <w:r>
              <w:rPr>
                <w:rFonts w:hint="eastAsia" w:ascii="仿宋" w:hAnsi="仿宋" w:eastAsia="仿宋" w:cs="仿宋"/>
                <w:sz w:val="24"/>
                <w:highlight w:val="none"/>
                <w:lang w:val="en-US" w:eastAsia="zh-CN"/>
              </w:rPr>
              <w:t>：</w:t>
            </w:r>
          </w:p>
          <w:p w14:paraId="77B85AAD">
            <w:pPr>
              <w:keepNext w:val="0"/>
              <w:keepLines w:val="0"/>
              <w:pageBreakBefore w:val="0"/>
              <w:kinsoku/>
              <w:wordWrap/>
              <w:topLinePunct w:val="0"/>
              <w:bidi w:val="0"/>
              <w:spacing w:line="420" w:lineRule="exact"/>
              <w:rPr>
                <w:rFonts w:hint="eastAsia"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①包装</w:t>
            </w:r>
            <w:r>
              <w:rPr>
                <w:rFonts w:hint="eastAsia" w:ascii="仿宋" w:hAnsi="仿宋" w:eastAsia="仿宋" w:cs="仿宋"/>
                <w:sz w:val="24"/>
                <w:highlight w:val="none"/>
                <w:lang w:val="en-US" w:eastAsia="zh-CN"/>
              </w:rPr>
              <w:t>；</w:t>
            </w:r>
            <w:r>
              <w:rPr>
                <w:rFonts w:hint="eastAsia" w:ascii="仿宋" w:hAnsi="仿宋" w:eastAsia="仿宋" w:cs="仿宋"/>
                <w:sz w:val="24"/>
                <w:szCs w:val="24"/>
                <w:highlight w:val="none"/>
                <w:lang w:val="en-US" w:eastAsia="zh-CN"/>
              </w:rPr>
              <w:t>②形状</w:t>
            </w:r>
            <w:r>
              <w:rPr>
                <w:rFonts w:hint="eastAsia" w:ascii="仿宋" w:hAnsi="仿宋" w:eastAsia="仿宋" w:cs="仿宋"/>
                <w:sz w:val="24"/>
                <w:highlight w:val="none"/>
                <w:lang w:val="en-US" w:eastAsia="zh-CN"/>
              </w:rPr>
              <w:t>；</w:t>
            </w:r>
            <w:r>
              <w:rPr>
                <w:rFonts w:hint="eastAsia" w:ascii="仿宋" w:hAnsi="仿宋" w:eastAsia="仿宋" w:cs="仿宋"/>
                <w:sz w:val="24"/>
                <w:szCs w:val="24"/>
                <w:highlight w:val="none"/>
                <w:lang w:val="en-US" w:eastAsia="zh-CN"/>
              </w:rPr>
              <w:t>③材料</w:t>
            </w:r>
            <w:r>
              <w:rPr>
                <w:rFonts w:hint="eastAsia" w:ascii="仿宋" w:hAnsi="仿宋" w:eastAsia="仿宋" w:cs="仿宋"/>
                <w:sz w:val="24"/>
                <w:highlight w:val="none"/>
                <w:lang w:val="en-US" w:eastAsia="zh-CN"/>
              </w:rPr>
              <w:t>；</w:t>
            </w:r>
            <w:r>
              <w:rPr>
                <w:rFonts w:hint="eastAsia" w:ascii="仿宋" w:hAnsi="仿宋" w:eastAsia="仿宋" w:cs="仿宋"/>
                <w:sz w:val="24"/>
                <w:szCs w:val="24"/>
                <w:highlight w:val="none"/>
                <w:lang w:val="en-US" w:eastAsia="zh-CN"/>
              </w:rPr>
              <w:t>④透明度</w:t>
            </w:r>
            <w:r>
              <w:rPr>
                <w:rFonts w:hint="eastAsia" w:ascii="仿宋" w:hAnsi="仿宋" w:eastAsia="仿宋" w:cs="仿宋"/>
                <w:sz w:val="24"/>
                <w:highlight w:val="none"/>
                <w:lang w:val="en-US" w:eastAsia="zh-CN"/>
              </w:rPr>
              <w:t>。</w:t>
            </w:r>
          </w:p>
          <w:p w14:paraId="6160B818">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sz w:val="24"/>
                <w:szCs w:val="24"/>
                <w:highlight w:val="none"/>
              </w:rPr>
            </w:pPr>
            <w:r>
              <w:rPr>
                <w:rFonts w:hint="eastAsia" w:ascii="仿宋" w:hAnsi="仿宋" w:eastAsia="仿宋" w:cs="仿宋"/>
                <w:color w:val="auto"/>
                <w:sz w:val="24"/>
                <w:szCs w:val="24"/>
                <w:highlight w:val="none"/>
                <w:lang w:val="en-US" w:eastAsia="zh-CN"/>
              </w:rPr>
              <w:t>要求：样品制作工艺、安全性、环保性、耐用性，无劣质、假冒、瑕疵产品等情况。样品每有一项内容存在缺陷，扣1分，扣完为止。</w:t>
            </w:r>
          </w:p>
        </w:tc>
      </w:tr>
      <w:tr w14:paraId="32DE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339268A8">
            <w:pPr>
              <w:keepNext w:val="0"/>
              <w:keepLines w:val="0"/>
              <w:pageBreakBefore w:val="0"/>
              <w:kinsoku/>
              <w:wordWrap/>
              <w:topLinePunct w:val="0"/>
              <w:bidi w:val="0"/>
              <w:adjustRightInd w:val="0"/>
              <w:snapToGrid w:val="0"/>
              <w:spacing w:line="420" w:lineRule="exact"/>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pacing w:val="9"/>
                <w:sz w:val="24"/>
                <w:szCs w:val="24"/>
              </w:rPr>
              <w:t>应急措施</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516C8E1">
            <w:pPr>
              <w:keepNext w:val="0"/>
              <w:keepLines w:val="0"/>
              <w:pageBreakBefore w:val="0"/>
              <w:kinsoku/>
              <w:wordWrap/>
              <w:topLinePunct w:val="0"/>
              <w:bidi w:val="0"/>
              <w:adjustRightInd w:val="0"/>
              <w:snapToGrid w:val="0"/>
              <w:spacing w:line="420" w:lineRule="exact"/>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kern w:val="2"/>
                <w:sz w:val="24"/>
                <w:szCs w:val="24"/>
                <w:lang w:val="en-US" w:eastAsia="zh-CN" w:bidi="ar-SA"/>
              </w:rPr>
              <w:t>4</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022F3F3E">
            <w:pPr>
              <w:keepNext w:val="0"/>
              <w:keepLines w:val="0"/>
              <w:pageBreakBefore w:val="0"/>
              <w:kinsoku/>
              <w:wordWrap/>
              <w:topLinePunct w:val="0"/>
              <w:bidi w:val="0"/>
              <w:adjustRightInd w:val="0"/>
              <w:snapToGrid w:val="0"/>
              <w:spacing w:line="420" w:lineRule="exact"/>
              <w:jc w:val="left"/>
              <w:rPr>
                <w:rFonts w:hint="eastAsia" w:ascii="仿宋" w:hAnsi="仿宋" w:eastAsia="仿宋" w:cs="仿宋"/>
                <w:sz w:val="24"/>
                <w:szCs w:val="24"/>
                <w:lang w:bidi="ar"/>
              </w:rPr>
            </w:pPr>
            <w:r>
              <w:rPr>
                <w:rFonts w:hint="eastAsia" w:ascii="仿宋" w:hAnsi="仿宋" w:eastAsia="仿宋" w:cs="仿宋"/>
                <w:spacing w:val="9"/>
                <w:sz w:val="24"/>
                <w:szCs w:val="24"/>
              </w:rPr>
              <w:t>供应商提供针对</w:t>
            </w:r>
            <w:r>
              <w:rPr>
                <w:rFonts w:hint="eastAsia" w:ascii="仿宋" w:hAnsi="仿宋" w:eastAsia="仿宋" w:cs="仿宋"/>
                <w:spacing w:val="9"/>
                <w:sz w:val="24"/>
                <w:szCs w:val="24"/>
                <w:lang w:val="en-US" w:eastAsia="zh-CN"/>
              </w:rPr>
              <w:t>本项目</w:t>
            </w:r>
            <w:r>
              <w:rPr>
                <w:rFonts w:hint="eastAsia" w:ascii="仿宋" w:hAnsi="仿宋" w:eastAsia="仿宋" w:cs="仿宋"/>
                <w:spacing w:val="9"/>
                <w:sz w:val="24"/>
                <w:szCs w:val="24"/>
              </w:rPr>
              <w:t>应急措施和解决方案</w:t>
            </w:r>
            <w:r>
              <w:rPr>
                <w:rFonts w:hint="eastAsia" w:ascii="仿宋" w:hAnsi="仿宋" w:eastAsia="仿宋" w:cs="仿宋"/>
                <w:spacing w:val="9"/>
                <w:sz w:val="24"/>
                <w:szCs w:val="24"/>
                <w:lang w:val="en-US" w:eastAsia="zh-CN"/>
              </w:rPr>
              <w:t>包括</w:t>
            </w:r>
            <w:r>
              <w:rPr>
                <w:rFonts w:hint="eastAsia" w:ascii="仿宋" w:hAnsi="仿宋" w:eastAsia="仿宋" w:cs="仿宋"/>
                <w:sz w:val="24"/>
                <w:szCs w:val="24"/>
                <w:highlight w:val="none"/>
                <w:lang w:val="en-US" w:eastAsia="zh-CN"/>
              </w:rPr>
              <w:t>①</w:t>
            </w:r>
            <w:r>
              <w:rPr>
                <w:rFonts w:hint="eastAsia" w:ascii="仿宋" w:hAnsi="仿宋" w:eastAsia="仿宋" w:cs="仿宋"/>
                <w:sz w:val="24"/>
                <w:szCs w:val="24"/>
                <w:lang w:eastAsia="zh-CN" w:bidi="ar"/>
              </w:rPr>
              <w:t>紧急供货；</w:t>
            </w:r>
            <w:r>
              <w:rPr>
                <w:rFonts w:hint="eastAsia" w:ascii="仿宋" w:hAnsi="仿宋" w:eastAsia="仿宋" w:cs="仿宋"/>
                <w:sz w:val="24"/>
                <w:szCs w:val="24"/>
                <w:highlight w:val="none"/>
                <w:lang w:val="en-US" w:eastAsia="zh-CN"/>
              </w:rPr>
              <w:t>②</w:t>
            </w:r>
            <w:r>
              <w:rPr>
                <w:rFonts w:hint="eastAsia" w:ascii="仿宋" w:hAnsi="仿宋" w:eastAsia="仿宋" w:cs="仿宋"/>
                <w:sz w:val="24"/>
                <w:szCs w:val="24"/>
                <w:lang w:eastAsia="zh-CN" w:bidi="ar"/>
              </w:rPr>
              <w:t>质量</w:t>
            </w:r>
            <w:r>
              <w:rPr>
                <w:rFonts w:hint="eastAsia" w:ascii="仿宋" w:hAnsi="仿宋" w:eastAsia="仿宋" w:cs="仿宋"/>
                <w:sz w:val="24"/>
                <w:szCs w:val="24"/>
                <w:lang w:val="en-US" w:eastAsia="zh-CN" w:bidi="ar"/>
              </w:rPr>
              <w:t>存在瑕疵</w:t>
            </w:r>
            <w:r>
              <w:rPr>
                <w:rFonts w:hint="eastAsia" w:ascii="仿宋" w:hAnsi="仿宋" w:eastAsia="仿宋" w:cs="仿宋"/>
                <w:sz w:val="24"/>
                <w:szCs w:val="24"/>
                <w:lang w:eastAsia="zh-CN" w:bidi="ar"/>
              </w:rPr>
              <w:t>等方面</w:t>
            </w:r>
            <w:r>
              <w:rPr>
                <w:rFonts w:hint="eastAsia" w:ascii="仿宋" w:hAnsi="仿宋" w:eastAsia="仿宋" w:cs="仿宋"/>
                <w:sz w:val="24"/>
                <w:szCs w:val="24"/>
                <w:lang w:bidi="ar"/>
              </w:rPr>
              <w:t>。</w:t>
            </w:r>
          </w:p>
          <w:p w14:paraId="3251ECEA">
            <w:pPr>
              <w:keepNext w:val="0"/>
              <w:keepLines w:val="0"/>
              <w:pageBreakBefore w:val="0"/>
              <w:widowControl w:val="0"/>
              <w:kinsoku/>
              <w:wordWrap/>
              <w:overflowPunct w:val="0"/>
              <w:topLinePunct w:val="0"/>
              <w:autoSpaceDE/>
              <w:autoSpaceDN/>
              <w:bidi w:val="0"/>
              <w:adjustRightInd w:val="0"/>
              <w:snapToGrid w:val="0"/>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要求：方案各项内容全面详细、阐述条理清晰得满分，每有一项缺项扣2分，每有一项内容存在缺陷，扣1分，扣完为止。</w:t>
            </w:r>
          </w:p>
          <w:p w14:paraId="7E321AF3">
            <w:pPr>
              <w:keepNext w:val="0"/>
              <w:keepLines w:val="0"/>
              <w:pageBreakBefore w:val="0"/>
              <w:kinsoku/>
              <w:wordWrap/>
              <w:topLinePunct w:val="0"/>
              <w:autoSpaceDE w:val="0"/>
              <w:autoSpaceDN w:val="0"/>
              <w:bidi w:val="0"/>
              <w:adjustRightInd w:val="0"/>
              <w:snapToGrid w:val="0"/>
              <w:spacing w:line="420" w:lineRule="exact"/>
              <w:jc w:val="left"/>
              <w:rPr>
                <w:rFonts w:hint="eastAsia" w:ascii="宋体" w:hAnsi="宋体" w:eastAsia="宋体" w:cs="宋体"/>
                <w:kern w:val="2"/>
                <w:sz w:val="24"/>
                <w:szCs w:val="24"/>
                <w:highlight w:val="none"/>
                <w:lang w:val="zh-CN" w:eastAsia="zh-CN" w:bidi="ar-SA"/>
              </w:rPr>
            </w:pPr>
            <w:r>
              <w:rPr>
                <w:rFonts w:hint="eastAsia" w:ascii="仿宋" w:hAnsi="仿宋" w:eastAsia="仿宋" w:cs="仿宋"/>
                <w:color w:val="auto"/>
                <w:sz w:val="24"/>
                <w:szCs w:val="24"/>
                <w:highlight w:val="none"/>
                <w:lang w:val="en-US" w:eastAsia="zh-CN"/>
              </w:rPr>
              <w:t>备注说明：缺陷是指内容不合理、虽有内容但不完善、内容表述前后不一致、套用其他项目方案或与项目需求不匹配及其他不利于项目实施的等任意一种情形。</w:t>
            </w:r>
          </w:p>
        </w:tc>
      </w:tr>
      <w:tr w14:paraId="11F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14:paraId="612618A2">
            <w:pPr>
              <w:keepNext w:val="0"/>
              <w:keepLines w:val="0"/>
              <w:pageBreakBefore w:val="0"/>
              <w:widowControl/>
              <w:kinsoku/>
              <w:wordWrap/>
              <w:overflowPunct/>
              <w:topLinePunct w:val="0"/>
              <w:autoSpaceDE/>
              <w:autoSpaceDN/>
              <w:bidi w:val="0"/>
              <w:snapToGrid w:val="0"/>
              <w:spacing w:line="420" w:lineRule="exact"/>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highlight w:val="none"/>
                <w:lang w:bidi="ar"/>
              </w:rPr>
              <w:t>企业业绩</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A1A9F6F">
            <w:pPr>
              <w:keepNext w:val="0"/>
              <w:keepLines w:val="0"/>
              <w:pageBreakBefore w:val="0"/>
              <w:widowControl/>
              <w:kinsoku/>
              <w:wordWrap/>
              <w:overflowPunct/>
              <w:topLinePunct w:val="0"/>
              <w:autoSpaceDE/>
              <w:autoSpaceDN/>
              <w:bidi w:val="0"/>
              <w:snapToGrid w:val="0"/>
              <w:spacing w:line="420" w:lineRule="exact"/>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highlight w:val="none"/>
                <w:lang w:val="en-US" w:eastAsia="zh-CN" w:bidi="ar"/>
              </w:rPr>
              <w:t>10</w:t>
            </w:r>
          </w:p>
        </w:tc>
        <w:tc>
          <w:tcPr>
            <w:tcW w:w="8295" w:type="dxa"/>
            <w:tcBorders>
              <w:top w:val="single" w:color="auto" w:sz="4" w:space="0"/>
              <w:left w:val="single" w:color="auto" w:sz="4" w:space="0"/>
              <w:bottom w:val="single" w:color="auto" w:sz="4" w:space="0"/>
              <w:right w:val="single" w:color="auto" w:sz="4" w:space="0"/>
            </w:tcBorders>
            <w:noWrap w:val="0"/>
            <w:vAlign w:val="center"/>
          </w:tcPr>
          <w:p w14:paraId="1CE7DAA2">
            <w:pPr>
              <w:keepNext w:val="0"/>
              <w:keepLines w:val="0"/>
              <w:pageBreakBefore w:val="0"/>
              <w:widowControl/>
              <w:kinsoku/>
              <w:wordWrap/>
              <w:overflowPunct/>
              <w:topLinePunct w:val="0"/>
              <w:autoSpaceDE/>
              <w:autoSpaceDN/>
              <w:bidi w:val="0"/>
              <w:snapToGrid w:val="0"/>
              <w:spacing w:line="420" w:lineRule="exact"/>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年至今</w:t>
            </w:r>
            <w:r>
              <w:rPr>
                <w:rFonts w:hint="eastAsia" w:ascii="仿宋" w:hAnsi="仿宋" w:eastAsia="仿宋" w:cs="仿宋"/>
                <w:color w:val="auto"/>
                <w:sz w:val="24"/>
                <w:highlight w:val="none"/>
                <w:lang w:val="en-US" w:eastAsia="zh-CN"/>
              </w:rPr>
              <w:t>同类</w:t>
            </w:r>
            <w:r>
              <w:rPr>
                <w:rFonts w:hint="eastAsia" w:ascii="仿宋" w:hAnsi="仿宋" w:eastAsia="仿宋" w:cs="仿宋"/>
                <w:color w:val="auto"/>
                <w:sz w:val="24"/>
                <w:highlight w:val="none"/>
              </w:rPr>
              <w:t>项目业绩，</w:t>
            </w:r>
            <w:r>
              <w:rPr>
                <w:rFonts w:hint="eastAsia" w:ascii="仿宋" w:hAnsi="仿宋" w:eastAsia="仿宋" w:cs="仿宋"/>
                <w:color w:val="auto"/>
                <w:sz w:val="24"/>
                <w:highlight w:val="none"/>
                <w:lang w:val="en-US" w:eastAsia="zh-CN"/>
              </w:rPr>
              <w:t>提供1份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分，满分10分。</w:t>
            </w:r>
          </w:p>
          <w:p w14:paraId="33F3B251">
            <w:pPr>
              <w:keepNext w:val="0"/>
              <w:keepLines w:val="0"/>
              <w:pageBreakBefore w:val="0"/>
              <w:widowControl/>
              <w:kinsoku/>
              <w:wordWrap/>
              <w:overflowPunct/>
              <w:topLinePunct w:val="0"/>
              <w:autoSpaceDE/>
              <w:autoSpaceDN/>
              <w:bidi w:val="0"/>
              <w:snapToGrid w:val="0"/>
              <w:spacing w:line="420" w:lineRule="exact"/>
              <w:jc w:val="left"/>
              <w:textAlignment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color w:val="auto"/>
                <w:sz w:val="24"/>
                <w:highlight w:val="none"/>
              </w:rPr>
              <w:t>（提供合同复印件加盖公章密封在响应文件中）</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Toc259455689"/>
      <w:bookmarkStart w:id="6" w:name="成交供货商候选人的确定标准"/>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3C49D2A4">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7D19903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u w:val="single"/>
        </w:rPr>
        <w:t>陕西中医药大学第二附属医院</w:t>
      </w:r>
      <w:r>
        <w:rPr>
          <w:rFonts w:hint="eastAsia" w:ascii="仿宋" w:hAnsi="仿宋" w:eastAsia="仿宋" w:cs="仿宋"/>
          <w:sz w:val="24"/>
          <w:szCs w:val="24"/>
        </w:rPr>
        <w:t>，其注册登记地址为：</w:t>
      </w:r>
      <w:r>
        <w:rPr>
          <w:rFonts w:hint="eastAsia" w:ascii="仿宋" w:hAnsi="仿宋" w:eastAsia="仿宋" w:cs="仿宋"/>
          <w:sz w:val="24"/>
          <w:szCs w:val="24"/>
          <w:u w:val="single"/>
        </w:rPr>
        <w:t>陕西省咸阳市渭阳西路5号</w:t>
      </w:r>
      <w:r>
        <w:rPr>
          <w:rFonts w:hint="eastAsia" w:ascii="仿宋" w:hAnsi="仿宋" w:eastAsia="仿宋" w:cs="仿宋"/>
          <w:sz w:val="24"/>
          <w:szCs w:val="24"/>
        </w:rPr>
        <w:t>，法定代表人为：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71BDADBD">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sz w:val="24"/>
          <w:szCs w:val="24"/>
        </w:rPr>
        <w:t>其注册登记地址为</w:t>
      </w:r>
      <w:r>
        <w:rPr>
          <w:rFonts w:hint="eastAsia" w:ascii="仿宋" w:hAnsi="仿宋" w:eastAsia="仿宋" w:cs="仿宋"/>
          <w:sz w:val="24"/>
          <w:szCs w:val="24"/>
          <w:u w:val="single" w:color="auto"/>
        </w:rPr>
        <w:t>：</w:t>
      </w:r>
      <w:r>
        <w:rPr>
          <w:rFonts w:hint="eastAsia" w:ascii="仿宋" w:hAnsi="仿宋" w:eastAsia="仿宋" w:cs="仿宋"/>
          <w:sz w:val="24"/>
          <w:szCs w:val="24"/>
          <w:u w:val="single" w:color="auto"/>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法定代表人为：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14:paraId="6A8BB31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甲、乙双方基于公平、公正、平等的原则，依据《中华人民共和国民法</w:t>
      </w:r>
      <w:r>
        <w:rPr>
          <w:rFonts w:hint="eastAsia" w:ascii="仿宋" w:hAnsi="仿宋" w:eastAsia="仿宋" w:cs="仿宋"/>
          <w:sz w:val="24"/>
          <w:szCs w:val="24"/>
          <w:lang w:val="en-US" w:eastAsia="zh-CN"/>
        </w:rPr>
        <w:t>典</w:t>
      </w:r>
      <w:r>
        <w:rPr>
          <w:rFonts w:hint="eastAsia" w:ascii="仿宋" w:hAnsi="仿宋" w:eastAsia="仿宋" w:cs="仿宋"/>
          <w:sz w:val="24"/>
          <w:szCs w:val="24"/>
        </w:rPr>
        <w:t>》相关规定，现经甲、乙双方友好协商，就甲方购买乙方产品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事宜，达成以下合同条款：</w:t>
      </w:r>
    </w:p>
    <w:p w14:paraId="42E2A0EC">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sz w:val="24"/>
          <w:szCs w:val="24"/>
          <w:lang w:eastAsia="zh-CN"/>
        </w:rPr>
      </w:pPr>
      <w:r>
        <w:rPr>
          <w:rFonts w:hint="eastAsia" w:ascii="仿宋" w:hAnsi="仿宋" w:eastAsia="仿宋" w:cs="仿宋"/>
          <w:b/>
          <w:sz w:val="24"/>
          <w:szCs w:val="24"/>
        </w:rPr>
        <w:t>第一条：</w:t>
      </w:r>
      <w:r>
        <w:rPr>
          <w:rFonts w:hint="eastAsia" w:ascii="仿宋" w:hAnsi="仿宋" w:eastAsia="仿宋" w:cs="仿宋"/>
          <w:b/>
          <w:sz w:val="24"/>
          <w:szCs w:val="24"/>
          <w:lang w:eastAsia="zh-CN"/>
        </w:rPr>
        <w:t>产品信息：</w:t>
      </w:r>
    </w:p>
    <w:p w14:paraId="3899BBA5">
      <w:pPr>
        <w:pStyle w:val="2"/>
        <w:rPr>
          <w:rFonts w:hint="eastAsia" w:ascii="仿宋" w:hAnsi="仿宋" w:eastAsia="仿宋" w:cs="仿宋"/>
          <w:b/>
          <w:sz w:val="24"/>
          <w:szCs w:val="24"/>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14:paraId="5DC1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top"/>
          </w:tcPr>
          <w:p w14:paraId="70FB9A6C">
            <w:pPr>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货物名称</w:t>
            </w:r>
          </w:p>
        </w:tc>
        <w:tc>
          <w:tcPr>
            <w:tcW w:w="1740" w:type="dxa"/>
            <w:noWrap w:val="0"/>
            <w:vAlign w:val="top"/>
          </w:tcPr>
          <w:p w14:paraId="77D53189">
            <w:pPr>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单价</w:t>
            </w:r>
          </w:p>
        </w:tc>
        <w:tc>
          <w:tcPr>
            <w:tcW w:w="1740" w:type="dxa"/>
            <w:noWrap w:val="0"/>
            <w:vAlign w:val="top"/>
          </w:tcPr>
          <w:p w14:paraId="731ADB8F">
            <w:pPr>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数量</w:t>
            </w:r>
          </w:p>
        </w:tc>
        <w:tc>
          <w:tcPr>
            <w:tcW w:w="1741" w:type="dxa"/>
            <w:noWrap w:val="0"/>
            <w:vAlign w:val="top"/>
          </w:tcPr>
          <w:p w14:paraId="3214FBF0">
            <w:pPr>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参数</w:t>
            </w:r>
          </w:p>
        </w:tc>
        <w:tc>
          <w:tcPr>
            <w:tcW w:w="1741" w:type="dxa"/>
            <w:noWrap w:val="0"/>
            <w:vAlign w:val="top"/>
          </w:tcPr>
          <w:p w14:paraId="13DE6443">
            <w:pPr>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备注</w:t>
            </w:r>
          </w:p>
        </w:tc>
      </w:tr>
      <w:tr w14:paraId="2128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top"/>
          </w:tcPr>
          <w:p w14:paraId="0E484B74">
            <w:pPr>
              <w:rPr>
                <w:rFonts w:hint="eastAsia" w:ascii="仿宋" w:hAnsi="仿宋" w:eastAsia="仿宋" w:cs="仿宋"/>
                <w:b/>
                <w:sz w:val="24"/>
                <w:szCs w:val="24"/>
                <w:vertAlign w:val="baseline"/>
                <w:lang w:eastAsia="zh-CN"/>
              </w:rPr>
            </w:pPr>
          </w:p>
        </w:tc>
        <w:tc>
          <w:tcPr>
            <w:tcW w:w="1740" w:type="dxa"/>
            <w:noWrap w:val="0"/>
            <w:vAlign w:val="top"/>
          </w:tcPr>
          <w:p w14:paraId="7F0D3426">
            <w:pPr>
              <w:rPr>
                <w:rFonts w:hint="eastAsia" w:ascii="仿宋" w:hAnsi="仿宋" w:eastAsia="仿宋" w:cs="仿宋"/>
                <w:b/>
                <w:sz w:val="24"/>
                <w:szCs w:val="24"/>
                <w:vertAlign w:val="baseline"/>
                <w:lang w:eastAsia="zh-CN"/>
              </w:rPr>
            </w:pPr>
          </w:p>
        </w:tc>
        <w:tc>
          <w:tcPr>
            <w:tcW w:w="1740" w:type="dxa"/>
            <w:noWrap w:val="0"/>
            <w:vAlign w:val="top"/>
          </w:tcPr>
          <w:p w14:paraId="0D56D84D">
            <w:pPr>
              <w:rPr>
                <w:rFonts w:hint="eastAsia" w:ascii="仿宋" w:hAnsi="仿宋" w:eastAsia="仿宋" w:cs="仿宋"/>
                <w:b/>
                <w:sz w:val="24"/>
                <w:szCs w:val="24"/>
                <w:vertAlign w:val="baseline"/>
                <w:lang w:eastAsia="zh-CN"/>
              </w:rPr>
            </w:pPr>
          </w:p>
        </w:tc>
        <w:tc>
          <w:tcPr>
            <w:tcW w:w="1741" w:type="dxa"/>
            <w:noWrap w:val="0"/>
            <w:vAlign w:val="top"/>
          </w:tcPr>
          <w:p w14:paraId="7D30AAB6">
            <w:pPr>
              <w:rPr>
                <w:rFonts w:hint="eastAsia" w:ascii="仿宋" w:hAnsi="仿宋" w:eastAsia="仿宋" w:cs="仿宋"/>
                <w:b/>
                <w:sz w:val="24"/>
                <w:szCs w:val="24"/>
                <w:vertAlign w:val="baseline"/>
                <w:lang w:eastAsia="zh-CN"/>
              </w:rPr>
            </w:pPr>
          </w:p>
        </w:tc>
        <w:tc>
          <w:tcPr>
            <w:tcW w:w="1741" w:type="dxa"/>
            <w:noWrap w:val="0"/>
            <w:vAlign w:val="top"/>
          </w:tcPr>
          <w:p w14:paraId="06B981C1">
            <w:pPr>
              <w:rPr>
                <w:rFonts w:hint="eastAsia" w:ascii="仿宋" w:hAnsi="仿宋" w:eastAsia="仿宋" w:cs="仿宋"/>
                <w:b/>
                <w:sz w:val="24"/>
                <w:szCs w:val="24"/>
                <w:vertAlign w:val="baseline"/>
                <w:lang w:eastAsia="zh-CN"/>
              </w:rPr>
            </w:pPr>
          </w:p>
        </w:tc>
      </w:tr>
      <w:tr w14:paraId="10DB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top"/>
          </w:tcPr>
          <w:p w14:paraId="186E25C3">
            <w:pPr>
              <w:rPr>
                <w:rFonts w:hint="eastAsia" w:ascii="仿宋" w:hAnsi="仿宋" w:eastAsia="仿宋" w:cs="仿宋"/>
                <w:b/>
                <w:sz w:val="24"/>
                <w:szCs w:val="24"/>
                <w:vertAlign w:val="baseline"/>
                <w:lang w:eastAsia="zh-CN"/>
              </w:rPr>
            </w:pPr>
          </w:p>
        </w:tc>
        <w:tc>
          <w:tcPr>
            <w:tcW w:w="1740" w:type="dxa"/>
            <w:noWrap w:val="0"/>
            <w:vAlign w:val="top"/>
          </w:tcPr>
          <w:p w14:paraId="13FDBC8C">
            <w:pPr>
              <w:rPr>
                <w:rFonts w:hint="eastAsia" w:ascii="仿宋" w:hAnsi="仿宋" w:eastAsia="仿宋" w:cs="仿宋"/>
                <w:b/>
                <w:sz w:val="24"/>
                <w:szCs w:val="24"/>
                <w:vertAlign w:val="baseline"/>
                <w:lang w:eastAsia="zh-CN"/>
              </w:rPr>
            </w:pPr>
          </w:p>
        </w:tc>
        <w:tc>
          <w:tcPr>
            <w:tcW w:w="1740" w:type="dxa"/>
            <w:noWrap w:val="0"/>
            <w:vAlign w:val="top"/>
          </w:tcPr>
          <w:p w14:paraId="00C8C340">
            <w:pPr>
              <w:rPr>
                <w:rFonts w:hint="eastAsia" w:ascii="仿宋" w:hAnsi="仿宋" w:eastAsia="仿宋" w:cs="仿宋"/>
                <w:b/>
                <w:sz w:val="24"/>
                <w:szCs w:val="24"/>
                <w:vertAlign w:val="baseline"/>
                <w:lang w:eastAsia="zh-CN"/>
              </w:rPr>
            </w:pPr>
          </w:p>
        </w:tc>
        <w:tc>
          <w:tcPr>
            <w:tcW w:w="1741" w:type="dxa"/>
            <w:noWrap w:val="0"/>
            <w:vAlign w:val="top"/>
          </w:tcPr>
          <w:p w14:paraId="7DBEEC14">
            <w:pPr>
              <w:rPr>
                <w:rFonts w:hint="eastAsia" w:ascii="仿宋" w:hAnsi="仿宋" w:eastAsia="仿宋" w:cs="仿宋"/>
                <w:b/>
                <w:sz w:val="24"/>
                <w:szCs w:val="24"/>
                <w:vertAlign w:val="baseline"/>
                <w:lang w:eastAsia="zh-CN"/>
              </w:rPr>
            </w:pPr>
          </w:p>
        </w:tc>
        <w:tc>
          <w:tcPr>
            <w:tcW w:w="1741" w:type="dxa"/>
            <w:noWrap w:val="0"/>
            <w:vAlign w:val="top"/>
          </w:tcPr>
          <w:p w14:paraId="30793B10">
            <w:pPr>
              <w:rPr>
                <w:rFonts w:hint="eastAsia" w:ascii="仿宋" w:hAnsi="仿宋" w:eastAsia="仿宋" w:cs="仿宋"/>
                <w:b/>
                <w:sz w:val="24"/>
                <w:szCs w:val="24"/>
                <w:vertAlign w:val="baseline"/>
                <w:lang w:eastAsia="zh-CN"/>
              </w:rPr>
            </w:pPr>
          </w:p>
        </w:tc>
      </w:tr>
      <w:tr w14:paraId="231A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top"/>
          </w:tcPr>
          <w:p w14:paraId="6EE14DF7">
            <w:pPr>
              <w:rPr>
                <w:rFonts w:hint="eastAsia" w:ascii="仿宋" w:hAnsi="仿宋" w:eastAsia="仿宋" w:cs="仿宋"/>
                <w:b/>
                <w:sz w:val="24"/>
                <w:szCs w:val="24"/>
                <w:vertAlign w:val="baseline"/>
                <w:lang w:eastAsia="zh-CN"/>
              </w:rPr>
            </w:pPr>
          </w:p>
        </w:tc>
        <w:tc>
          <w:tcPr>
            <w:tcW w:w="1740" w:type="dxa"/>
            <w:noWrap w:val="0"/>
            <w:vAlign w:val="top"/>
          </w:tcPr>
          <w:p w14:paraId="020F6FC3">
            <w:pPr>
              <w:rPr>
                <w:rFonts w:hint="eastAsia" w:ascii="仿宋" w:hAnsi="仿宋" w:eastAsia="仿宋" w:cs="仿宋"/>
                <w:b/>
                <w:sz w:val="24"/>
                <w:szCs w:val="24"/>
                <w:vertAlign w:val="baseline"/>
                <w:lang w:eastAsia="zh-CN"/>
              </w:rPr>
            </w:pPr>
          </w:p>
        </w:tc>
        <w:tc>
          <w:tcPr>
            <w:tcW w:w="1740" w:type="dxa"/>
            <w:noWrap w:val="0"/>
            <w:vAlign w:val="top"/>
          </w:tcPr>
          <w:p w14:paraId="72D7574A">
            <w:pPr>
              <w:rPr>
                <w:rFonts w:hint="eastAsia" w:ascii="仿宋" w:hAnsi="仿宋" w:eastAsia="仿宋" w:cs="仿宋"/>
                <w:b/>
                <w:sz w:val="24"/>
                <w:szCs w:val="24"/>
                <w:vertAlign w:val="baseline"/>
                <w:lang w:eastAsia="zh-CN"/>
              </w:rPr>
            </w:pPr>
          </w:p>
        </w:tc>
        <w:tc>
          <w:tcPr>
            <w:tcW w:w="1741" w:type="dxa"/>
            <w:noWrap w:val="0"/>
            <w:vAlign w:val="top"/>
          </w:tcPr>
          <w:p w14:paraId="50A6FF63">
            <w:pPr>
              <w:rPr>
                <w:rFonts w:hint="eastAsia" w:ascii="仿宋" w:hAnsi="仿宋" w:eastAsia="仿宋" w:cs="仿宋"/>
                <w:b/>
                <w:sz w:val="24"/>
                <w:szCs w:val="24"/>
                <w:vertAlign w:val="baseline"/>
                <w:lang w:eastAsia="zh-CN"/>
              </w:rPr>
            </w:pPr>
          </w:p>
        </w:tc>
        <w:tc>
          <w:tcPr>
            <w:tcW w:w="1741" w:type="dxa"/>
            <w:noWrap w:val="0"/>
            <w:vAlign w:val="top"/>
          </w:tcPr>
          <w:p w14:paraId="7676138C">
            <w:pPr>
              <w:rPr>
                <w:rFonts w:hint="eastAsia" w:ascii="仿宋" w:hAnsi="仿宋" w:eastAsia="仿宋" w:cs="仿宋"/>
                <w:b/>
                <w:sz w:val="24"/>
                <w:szCs w:val="24"/>
                <w:vertAlign w:val="baseline"/>
                <w:lang w:eastAsia="zh-CN"/>
              </w:rPr>
            </w:pPr>
          </w:p>
        </w:tc>
      </w:tr>
    </w:tbl>
    <w:p w14:paraId="4399DEB7">
      <w:pP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标段三要求每次供货需加配本次供货数量10%的独立包装奶嘴</w:t>
      </w:r>
      <w:r>
        <w:rPr>
          <w:rFonts w:hint="eastAsia" w:ascii="仿宋" w:hAnsi="仿宋" w:eastAsia="仿宋" w:cs="仿宋"/>
          <w:b/>
          <w:sz w:val="24"/>
          <w:szCs w:val="24"/>
          <w:highlight w:val="none"/>
          <w:lang w:eastAsia="zh-CN"/>
        </w:rPr>
        <w:t>）</w:t>
      </w:r>
    </w:p>
    <w:p w14:paraId="79B6713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本合同</w:t>
      </w:r>
      <w:r>
        <w:rPr>
          <w:rFonts w:hint="eastAsia" w:ascii="仿宋" w:hAnsi="仿宋" w:eastAsia="仿宋" w:cs="仿宋"/>
          <w:sz w:val="24"/>
          <w:szCs w:val="24"/>
          <w:lang w:eastAsia="zh-CN"/>
        </w:rPr>
        <w:t>为固定单价合同</w:t>
      </w:r>
      <w:r>
        <w:rPr>
          <w:rFonts w:hint="eastAsia" w:ascii="仿宋" w:hAnsi="仿宋" w:eastAsia="仿宋" w:cs="仿宋"/>
          <w:sz w:val="24"/>
          <w:szCs w:val="24"/>
        </w:rPr>
        <w:t>，该价格</w:t>
      </w:r>
      <w:r>
        <w:rPr>
          <w:rFonts w:hint="eastAsia" w:ascii="仿宋" w:hAnsi="仿宋" w:eastAsia="仿宋" w:cs="仿宋"/>
          <w:sz w:val="24"/>
          <w:szCs w:val="24"/>
          <w:lang w:eastAsia="zh-CN"/>
        </w:rPr>
        <w:t>已</w:t>
      </w:r>
      <w:r>
        <w:rPr>
          <w:rFonts w:hint="eastAsia" w:ascii="仿宋" w:hAnsi="仿宋" w:eastAsia="仿宋" w:cs="仿宋"/>
          <w:sz w:val="24"/>
          <w:szCs w:val="24"/>
        </w:rPr>
        <w:t>包括但不限于产品供应价、运杂费（含运费、</w:t>
      </w:r>
      <w:r>
        <w:rPr>
          <w:rFonts w:hint="eastAsia" w:ascii="仿宋" w:hAnsi="仿宋" w:eastAsia="仿宋" w:cs="仿宋"/>
          <w:sz w:val="24"/>
          <w:szCs w:val="24"/>
          <w:lang w:eastAsia="zh-CN"/>
        </w:rPr>
        <w:t>二次倒运费、</w:t>
      </w:r>
      <w:r>
        <w:rPr>
          <w:rFonts w:hint="eastAsia" w:ascii="仿宋" w:hAnsi="仿宋" w:eastAsia="仿宋" w:cs="仿宋"/>
          <w:sz w:val="24"/>
          <w:szCs w:val="24"/>
        </w:rPr>
        <w:t>仓储费、装卸费等）、</w:t>
      </w:r>
      <w:r>
        <w:rPr>
          <w:rFonts w:hint="eastAsia" w:ascii="仿宋" w:hAnsi="仿宋" w:eastAsia="仿宋" w:cs="仿宋"/>
          <w:sz w:val="24"/>
          <w:szCs w:val="24"/>
          <w:lang w:eastAsia="zh-CN"/>
        </w:rPr>
        <w:t>乙方人员服务费、差旅费、</w:t>
      </w:r>
      <w:r>
        <w:rPr>
          <w:rFonts w:hint="eastAsia" w:ascii="仿宋" w:hAnsi="仿宋" w:eastAsia="仿宋" w:cs="仿宋"/>
          <w:sz w:val="24"/>
          <w:szCs w:val="24"/>
        </w:rPr>
        <w:t>税金</w:t>
      </w:r>
      <w:r>
        <w:rPr>
          <w:rFonts w:hint="eastAsia" w:ascii="仿宋" w:hAnsi="仿宋" w:eastAsia="仿宋" w:cs="仿宋"/>
          <w:sz w:val="24"/>
          <w:szCs w:val="24"/>
          <w:lang w:eastAsia="zh-CN"/>
        </w:rPr>
        <w:t>等</w:t>
      </w:r>
      <w:r>
        <w:rPr>
          <w:rFonts w:hint="eastAsia" w:ascii="仿宋" w:hAnsi="仿宋" w:eastAsia="仿宋" w:cs="仿宋"/>
          <w:sz w:val="24"/>
          <w:szCs w:val="24"/>
        </w:rPr>
        <w:t>及其它不可预见费用。</w:t>
      </w:r>
    </w:p>
    <w:p w14:paraId="0450463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第二条：交货地点：</w:t>
      </w:r>
    </w:p>
    <w:p w14:paraId="424B544C">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textAlignment w:val="auto"/>
        <w:rPr>
          <w:rFonts w:hint="eastAsia" w:ascii="仿宋" w:hAnsi="仿宋" w:eastAsia="仿宋" w:cs="仿宋"/>
          <w:sz w:val="24"/>
          <w:szCs w:val="24"/>
          <w:lang w:eastAsia="zh-CN"/>
        </w:rPr>
      </w:pPr>
      <w:r>
        <w:rPr>
          <w:rFonts w:hint="eastAsia" w:ascii="仿宋" w:hAnsi="仿宋" w:eastAsia="仿宋" w:cs="仿宋"/>
          <w:sz w:val="24"/>
          <w:szCs w:val="24"/>
        </w:rPr>
        <w:t>陕西中医药大学第二附属医院</w:t>
      </w:r>
      <w:r>
        <w:rPr>
          <w:rFonts w:hint="eastAsia" w:ascii="仿宋" w:hAnsi="仿宋" w:eastAsia="仿宋" w:cs="仿宋"/>
          <w:sz w:val="24"/>
          <w:szCs w:val="24"/>
          <w:lang w:eastAsia="zh-CN"/>
        </w:rPr>
        <w:t>指定地点。</w:t>
      </w:r>
    </w:p>
    <w:p w14:paraId="44157A4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第三条：交货时间：</w:t>
      </w:r>
    </w:p>
    <w:p w14:paraId="3F0ACD7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合同签订之日起，甲方提前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个工作</w:t>
      </w:r>
      <w:r>
        <w:rPr>
          <w:rFonts w:hint="eastAsia" w:ascii="仿宋" w:hAnsi="仿宋" w:eastAsia="仿宋" w:cs="仿宋"/>
          <w:sz w:val="24"/>
          <w:szCs w:val="24"/>
          <w:u w:val="none"/>
        </w:rPr>
        <w:t>日</w:t>
      </w:r>
      <w:r>
        <w:rPr>
          <w:rFonts w:hint="eastAsia" w:ascii="仿宋" w:hAnsi="仿宋" w:eastAsia="仿宋" w:cs="仿宋"/>
          <w:sz w:val="24"/>
          <w:szCs w:val="24"/>
        </w:rPr>
        <w:t>以书面或电话形式通知乙方送货时间、数量，乙方必须在甲方要求的时间内按照</w:t>
      </w:r>
      <w:r>
        <w:rPr>
          <w:rFonts w:hint="eastAsia" w:ascii="仿宋" w:hAnsi="仿宋" w:eastAsia="仿宋" w:cs="仿宋"/>
          <w:sz w:val="24"/>
          <w:szCs w:val="24"/>
          <w:lang w:eastAsia="zh-CN"/>
        </w:rPr>
        <w:t>通知约定各项备货并</w:t>
      </w:r>
      <w:r>
        <w:rPr>
          <w:rFonts w:hint="eastAsia" w:ascii="仿宋" w:hAnsi="仿宋" w:eastAsia="仿宋" w:cs="仿宋"/>
          <w:sz w:val="24"/>
          <w:szCs w:val="24"/>
        </w:rPr>
        <w:t>将货物送至合同约定交货地点。</w:t>
      </w:r>
    </w:p>
    <w:p w14:paraId="667F92D8">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sz w:val="24"/>
          <w:szCs w:val="24"/>
          <w:lang w:eastAsia="zh-CN"/>
        </w:rPr>
      </w:pPr>
      <w:r>
        <w:rPr>
          <w:rFonts w:hint="eastAsia" w:ascii="仿宋" w:hAnsi="仿宋" w:eastAsia="仿宋" w:cs="仿宋"/>
          <w:b/>
          <w:sz w:val="24"/>
          <w:szCs w:val="24"/>
        </w:rPr>
        <w:t>第四条</w:t>
      </w:r>
      <w:r>
        <w:rPr>
          <w:rFonts w:hint="eastAsia" w:ascii="仿宋" w:hAnsi="仿宋" w:eastAsia="仿宋" w:cs="仿宋"/>
          <w:b/>
          <w:sz w:val="24"/>
          <w:szCs w:val="24"/>
          <w:lang w:eastAsia="zh-CN"/>
        </w:rPr>
        <w:t>：</w:t>
      </w:r>
      <w:r>
        <w:rPr>
          <w:rFonts w:hint="eastAsia" w:ascii="仿宋" w:hAnsi="仿宋" w:eastAsia="仿宋" w:cs="仿宋"/>
          <w:b/>
          <w:sz w:val="24"/>
          <w:szCs w:val="24"/>
        </w:rPr>
        <w:t>甲方指定收货人</w:t>
      </w:r>
      <w:r>
        <w:rPr>
          <w:rFonts w:hint="eastAsia" w:ascii="仿宋" w:hAnsi="仿宋" w:eastAsia="仿宋" w:cs="仿宋"/>
          <w:b/>
          <w:sz w:val="24"/>
          <w:szCs w:val="24"/>
          <w:lang w:eastAsia="zh-CN"/>
        </w:rPr>
        <w:t>：</w:t>
      </w:r>
    </w:p>
    <w:p w14:paraId="522849D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sz w:val="24"/>
          <w:szCs w:val="24"/>
          <w:lang w:val="en-US" w:eastAsia="zh-CN"/>
        </w:rPr>
        <w:t xml:space="preserve">秦都院区：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p>
    <w:p w14:paraId="5FDE450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西咸院区：         联系电话</w:t>
      </w:r>
    </w:p>
    <w:p w14:paraId="6822802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根据使用需要，甲方如需提前或推迟收货，甲方应当提前电话通知乙方，乙方应无条件配合，不得收取仓储费等任何费用。</w:t>
      </w:r>
    </w:p>
    <w:p w14:paraId="41075D56">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rPr>
        <w:t>第五条：货款结算方式：</w:t>
      </w:r>
    </w:p>
    <w:p w14:paraId="525DEA40">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付款方式：以实际供货量据实结算货款。</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每批次交易的货物</w:t>
      </w:r>
      <w:r>
        <w:rPr>
          <w:rFonts w:hint="eastAsia" w:ascii="仿宋" w:hAnsi="仿宋" w:eastAsia="仿宋" w:cs="仿宋"/>
          <w:color w:val="auto"/>
          <w:sz w:val="24"/>
          <w:szCs w:val="24"/>
          <w:highlight w:val="none"/>
          <w:lang w:val="en-US" w:eastAsia="zh-CN"/>
        </w:rPr>
        <w:t>需保证</w:t>
      </w:r>
      <w:r>
        <w:rPr>
          <w:rFonts w:hint="eastAsia" w:ascii="仿宋" w:hAnsi="仿宋" w:eastAsia="仿宋" w:cs="仿宋"/>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ascii="仿宋" w:hAnsi="仿宋" w:eastAsia="仿宋" w:cs="仿宋"/>
          <w:color w:val="auto"/>
          <w:sz w:val="24"/>
          <w:szCs w:val="24"/>
          <w:highlight w:val="none"/>
          <w:lang w:val="en-US" w:eastAsia="zh-CN"/>
        </w:rPr>
        <w:t>于本季度末支付上季度货款</w:t>
      </w:r>
      <w:r>
        <w:rPr>
          <w:rFonts w:hint="eastAsia" w:ascii="仿宋" w:hAnsi="仿宋" w:eastAsia="仿宋" w:cs="仿宋"/>
          <w:color w:val="auto"/>
          <w:sz w:val="24"/>
          <w:szCs w:val="24"/>
          <w:highlight w:val="none"/>
        </w:rPr>
        <w:t>。乙方未按照合同的约定提供发票或提供的发票不符合规定的，甲方有权拒付合同款项且不承担任何法律责任。</w:t>
      </w:r>
    </w:p>
    <w:p w14:paraId="25FDA471">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2、支付方式：甲方直接将货款通过银行转账的方式转入乙方指定的专用账号。</w:t>
      </w:r>
    </w:p>
    <w:p w14:paraId="7BE60E11">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乙方账户：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color="auto"/>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7B63659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rPr>
        <w:t xml:space="preserve">账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none"/>
        </w:rPr>
        <w:t>号:</w:t>
      </w:r>
      <w:r>
        <w:rPr>
          <w:rFonts w:hint="eastAsia" w:ascii="仿宋" w:hAnsi="仿宋" w:eastAsia="仿宋" w:cs="仿宋"/>
          <w:sz w:val="24"/>
          <w:szCs w:val="24"/>
        </w:rPr>
        <w:t xml:space="preserve"> </w:t>
      </w:r>
      <w:r>
        <w:rPr>
          <w:rFonts w:hint="eastAsia" w:ascii="仿宋" w:hAnsi="仿宋" w:eastAsia="仿宋" w:cs="仿宋"/>
          <w:sz w:val="24"/>
          <w:szCs w:val="24"/>
          <w:u w:val="single" w:color="auto"/>
          <w:lang w:val="en-US" w:eastAsia="zh-CN"/>
        </w:rPr>
        <w:t xml:space="preserve"> </w:t>
      </w:r>
      <w:r>
        <w:rPr>
          <w:rFonts w:hint="eastAsia" w:ascii="仿宋" w:hAnsi="仿宋" w:eastAsia="仿宋" w:cs="仿宋"/>
          <w:color w:val="FF0000"/>
          <w:sz w:val="24"/>
          <w:szCs w:val="24"/>
          <w:u w:val="single"/>
          <w:lang w:val="en-US" w:eastAsia="zh-CN"/>
        </w:rPr>
        <w:t xml:space="preserve">          </w:t>
      </w:r>
    </w:p>
    <w:p w14:paraId="623BAB1C">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color w:val="auto"/>
          <w:sz w:val="24"/>
          <w:szCs w:val="24"/>
        </w:rPr>
        <w:t>开</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户</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行</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 xml:space="preserve">   </w:t>
      </w:r>
    </w:p>
    <w:p w14:paraId="3FACBC13">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第六条：运输及风险：</w:t>
      </w:r>
    </w:p>
    <w:p w14:paraId="43140AC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1、选择运输风险小、运费低、距离短的运输路线。</w:t>
      </w:r>
    </w:p>
    <w:p w14:paraId="6B07F35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2、乙方自行选择运送方式并负责将产品运输</w:t>
      </w:r>
      <w:r>
        <w:rPr>
          <w:rFonts w:hint="eastAsia" w:ascii="仿宋" w:hAnsi="仿宋" w:eastAsia="仿宋" w:cs="仿宋"/>
          <w:sz w:val="24"/>
          <w:szCs w:val="24"/>
          <w:lang w:val="en-US" w:eastAsia="zh-CN"/>
        </w:rPr>
        <w:t>并装卸</w:t>
      </w:r>
      <w:r>
        <w:rPr>
          <w:rFonts w:hint="eastAsia" w:ascii="仿宋" w:hAnsi="仿宋" w:eastAsia="仿宋" w:cs="仿宋"/>
          <w:sz w:val="24"/>
          <w:szCs w:val="24"/>
        </w:rPr>
        <w:t>到指定交货地点，并承担合同中约定的全部费用。</w:t>
      </w:r>
    </w:p>
    <w:p w14:paraId="46AB108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3、运杂费包含在合同总金额内，包括乙方发货地至交货地之间所需的运输费、仓储费、装卸费、保险费、二次倒运费、现场保管费用等。</w:t>
      </w:r>
    </w:p>
    <w:p w14:paraId="4504FC4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4、货物在交付甲方</w:t>
      </w:r>
      <w:r>
        <w:rPr>
          <w:rFonts w:hint="eastAsia" w:ascii="仿宋" w:hAnsi="仿宋" w:eastAsia="仿宋" w:cs="仿宋"/>
          <w:sz w:val="24"/>
          <w:szCs w:val="24"/>
          <w:lang w:val="en-US" w:eastAsia="zh-CN"/>
        </w:rPr>
        <w:t>并获得甲方验收合格</w:t>
      </w:r>
      <w:r>
        <w:rPr>
          <w:rFonts w:hint="eastAsia" w:ascii="仿宋" w:hAnsi="仿宋" w:eastAsia="仿宋" w:cs="仿宋"/>
          <w:sz w:val="24"/>
          <w:szCs w:val="24"/>
        </w:rPr>
        <w:t>之前，毁损、灭失的风险均由乙方全部承担。</w:t>
      </w:r>
    </w:p>
    <w:p w14:paraId="70670AD2">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第七条：</w:t>
      </w:r>
      <w:r>
        <w:rPr>
          <w:rFonts w:hint="eastAsia" w:ascii="仿宋" w:hAnsi="仿宋" w:eastAsia="仿宋" w:cs="仿宋"/>
          <w:b/>
          <w:sz w:val="24"/>
          <w:szCs w:val="24"/>
          <w:lang w:val="en-US" w:eastAsia="zh-CN"/>
        </w:rPr>
        <w:t>货物验收及</w:t>
      </w:r>
      <w:r>
        <w:rPr>
          <w:rFonts w:hint="eastAsia" w:ascii="仿宋" w:hAnsi="仿宋" w:eastAsia="仿宋" w:cs="仿宋"/>
          <w:b/>
          <w:sz w:val="24"/>
          <w:szCs w:val="24"/>
        </w:rPr>
        <w:t>质量保证：</w:t>
      </w:r>
    </w:p>
    <w:p w14:paraId="01FB6FC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rPr>
        <w:t>1、乙方的产品质量应当符合国家行业规定的标准，并无任</w:t>
      </w:r>
      <w:r>
        <w:rPr>
          <w:rFonts w:hint="eastAsia" w:ascii="仿宋" w:hAnsi="仿宋" w:eastAsia="仿宋" w:cs="仿宋"/>
          <w:color w:val="000000"/>
          <w:sz w:val="24"/>
          <w:szCs w:val="24"/>
          <w:highlight w:val="none"/>
        </w:rPr>
        <w:t>何瑕疵。</w:t>
      </w:r>
      <w:r>
        <w:rPr>
          <w:rFonts w:hint="eastAsia" w:ascii="仿宋" w:hAnsi="仿宋" w:eastAsia="仿宋" w:cs="仿宋"/>
          <w:color w:val="000000"/>
          <w:sz w:val="24"/>
          <w:szCs w:val="24"/>
          <w:highlight w:val="none"/>
          <w:lang w:val="en-US" w:eastAsia="zh-CN"/>
        </w:rPr>
        <w:t>移交产品时应提供所移交产品对应批次有相关资质的第三方单位出具的检测报告。</w:t>
      </w:r>
    </w:p>
    <w:p w14:paraId="09D12863">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2、如交付品种、</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"http://www.hudong.com/wiki/%E5%9E%8B%E5%8F%B7" \o "型号" \t "_blank"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型号</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"http://www.hudong.com/wiki/%E8%A7%84%E6%A0%BC" \o "规格" \t "_blank"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规格</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不符合同约定的，由乙方负责退换，由此产生的一切费用及给甲方造成的相关损失由乙方全部承担并赔偿相应损失。</w:t>
      </w:r>
    </w:p>
    <w:p w14:paraId="18168D4C">
      <w:pPr>
        <w:pStyle w:val="2"/>
        <w:spacing w:line="360" w:lineRule="auto"/>
        <w:ind w:lef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有货物由乙方送到交货地点且甲方确认收货后【】天内，由甲乙双方共同对货物的包装、外观、数量、商标、型号、规格及性能等进行验收，签署验收单。如乙方未按约定到甲方指定地点验收货物的，应视为乙方对甲方单方验收的结果予以确认。</w:t>
      </w:r>
    </w:p>
    <w:p w14:paraId="204158BD">
      <w:pPr>
        <w:pStyle w:val="2"/>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验收标准：合同文本、合同附件、招标文件、投标文件；国内相应的标准、规范。验收时应提供的技术资料。</w:t>
      </w:r>
    </w:p>
    <w:p w14:paraId="3A3AC83E">
      <w:pPr>
        <w:pStyle w:val="2"/>
        <w:spacing w:line="360" w:lineRule="auto"/>
        <w:ind w:firstLine="480" w:firstLineChars="200"/>
        <w:rPr>
          <w:rFonts w:hint="eastAsia" w:ascii="仿宋" w:hAnsi="仿宋" w:eastAsia="仿宋" w:cs="仿宋"/>
        </w:rPr>
      </w:pPr>
      <w:r>
        <w:rPr>
          <w:rFonts w:hint="eastAsia" w:ascii="仿宋" w:hAnsi="仿宋" w:eastAsia="仿宋" w:cs="仿宋"/>
          <w:sz w:val="24"/>
          <w:szCs w:val="24"/>
          <w:lang w:val="en-US" w:eastAsia="zh-CN"/>
        </w:rPr>
        <w:t>货物验收单仅证明乙方所提供的货物截至出具验收单之日时可以按合同要求予以接受，但不能视为乙方对货物存在的潜在缺陷责任的解除。此验收不作为对货物内在质量认定的依据。</w:t>
      </w:r>
    </w:p>
    <w:p w14:paraId="06BF098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、如</w:t>
      </w:r>
      <w:r>
        <w:rPr>
          <w:rFonts w:hint="eastAsia" w:ascii="仿宋" w:hAnsi="仿宋" w:eastAsia="仿宋" w:cs="仿宋"/>
          <w:color w:val="000000"/>
          <w:sz w:val="24"/>
          <w:szCs w:val="24"/>
          <w:lang w:val="en-US" w:eastAsia="zh-CN"/>
        </w:rPr>
        <w:t>货物不符合国家标准和合同约定，乙方应按甲方要求进行调换，若</w:t>
      </w:r>
      <w:r>
        <w:rPr>
          <w:rFonts w:hint="eastAsia" w:ascii="仿宋" w:hAnsi="仿宋" w:eastAsia="仿宋" w:cs="仿宋"/>
          <w:color w:val="000000"/>
          <w:sz w:val="24"/>
          <w:szCs w:val="24"/>
        </w:rPr>
        <w:t>不能</w:t>
      </w:r>
      <w:r>
        <w:rPr>
          <w:rFonts w:hint="eastAsia" w:ascii="仿宋" w:hAnsi="仿宋" w:eastAsia="仿宋" w:cs="仿宋"/>
          <w:color w:val="000000"/>
          <w:sz w:val="24"/>
          <w:szCs w:val="24"/>
          <w:lang w:val="en-US" w:eastAsia="zh-CN"/>
        </w:rPr>
        <w:t>按时</w:t>
      </w:r>
      <w:r>
        <w:rPr>
          <w:rFonts w:hint="eastAsia" w:ascii="仿宋" w:hAnsi="仿宋" w:eastAsia="仿宋" w:cs="仿宋"/>
          <w:color w:val="000000"/>
          <w:sz w:val="24"/>
          <w:szCs w:val="24"/>
        </w:rPr>
        <w:t>调换的，按不能交货处理，因此给甲方造成的所有经济损失乙方应予全额赔偿。</w:t>
      </w:r>
    </w:p>
    <w:p w14:paraId="600EE4F7">
      <w:pPr>
        <w:pStyle w:val="2"/>
        <w:spacing w:line="360" w:lineRule="auto"/>
        <w:ind w:left="0"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如</w:t>
      </w:r>
      <w:r>
        <w:rPr>
          <w:rFonts w:hint="eastAsia" w:ascii="仿宋" w:hAnsi="仿宋" w:eastAsia="仿宋" w:cs="仿宋"/>
          <w:sz w:val="24"/>
          <w:lang w:val="en-US" w:eastAsia="zh-CN"/>
        </w:rPr>
        <w:t>货物</w:t>
      </w:r>
      <w:r>
        <w:rPr>
          <w:rFonts w:hint="eastAsia" w:ascii="仿宋" w:hAnsi="仿宋" w:eastAsia="仿宋" w:cs="仿宋"/>
          <w:sz w:val="24"/>
        </w:rPr>
        <w:t>进场后，需要进行第三方检测、检验（试验）的，相关费用由乙方承担。检测、检验（试验）或货物验收不合格的，视为</w:t>
      </w:r>
      <w:r>
        <w:rPr>
          <w:rFonts w:hint="eastAsia" w:ascii="仿宋" w:hAnsi="仿宋" w:eastAsia="仿宋" w:cs="仿宋"/>
          <w:sz w:val="24"/>
          <w:lang w:val="en-US" w:eastAsia="zh-CN"/>
        </w:rPr>
        <w:t>货物</w:t>
      </w:r>
      <w:r>
        <w:rPr>
          <w:rFonts w:hint="eastAsia" w:ascii="仿宋" w:hAnsi="仿宋" w:eastAsia="仿宋" w:cs="仿宋"/>
          <w:sz w:val="24"/>
        </w:rPr>
        <w:t>交付未完成，乙方应承担迟延交货的违约责任。</w:t>
      </w:r>
    </w:p>
    <w:p w14:paraId="38CFBD8B">
      <w:pPr>
        <w:pStyle w:val="2"/>
        <w:spacing w:line="360" w:lineRule="auto"/>
        <w:ind w:left="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6、甲方依照法律规定或合同约定退货的，由乙方自行运离。如乙方在【】日内不取回货物，视为乙方放弃货物所有权。甲方可在无需支付货款的条件下处置该货物，处置费用由乙方承担。</w:t>
      </w:r>
    </w:p>
    <w:p w14:paraId="6E62BD2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、如因该产品本身的质量原因而在使用过程中造成的任何医疗事故纠纷，由乙方全额负责赔偿</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甲方因此遭遇索赔的，有权向乙方追偿</w:t>
      </w:r>
      <w:r>
        <w:rPr>
          <w:rFonts w:hint="eastAsia" w:ascii="仿宋" w:hAnsi="仿宋" w:eastAsia="仿宋" w:cs="仿宋"/>
          <w:color w:val="000000"/>
          <w:sz w:val="24"/>
          <w:szCs w:val="24"/>
        </w:rPr>
        <w:t>。</w:t>
      </w:r>
    </w:p>
    <w:p w14:paraId="6581338C">
      <w:pPr>
        <w:spacing w:line="360" w:lineRule="auto"/>
        <w:ind w:firstLine="480" w:firstLineChars="200"/>
        <w:rPr>
          <w:rFonts w:hint="eastAsia" w:ascii="仿宋" w:hAnsi="仿宋" w:eastAsia="仿宋" w:cs="仿宋"/>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甲方因此遭遇索赔的，有权向乙方追偿</w:t>
      </w:r>
      <w:r>
        <w:rPr>
          <w:rFonts w:hint="eastAsia" w:ascii="仿宋" w:hAnsi="仿宋" w:eastAsia="仿宋" w:cs="仿宋"/>
          <w:color w:val="000000"/>
          <w:sz w:val="24"/>
          <w:szCs w:val="24"/>
        </w:rPr>
        <w:t>。</w:t>
      </w:r>
    </w:p>
    <w:p w14:paraId="57F7877E">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第八条：违约责任：</w:t>
      </w:r>
    </w:p>
    <w:p w14:paraId="573C38C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1、乙方如不能</w:t>
      </w:r>
      <w:r>
        <w:rPr>
          <w:rFonts w:hint="eastAsia" w:ascii="仿宋" w:hAnsi="仿宋" w:eastAsia="仿宋" w:cs="仿宋"/>
          <w:color w:val="000000"/>
          <w:sz w:val="24"/>
          <w:szCs w:val="24"/>
          <w:lang w:val="en-US" w:eastAsia="zh-CN"/>
        </w:rPr>
        <w:t>按</w:t>
      </w:r>
      <w:r>
        <w:rPr>
          <w:rFonts w:hint="eastAsia" w:ascii="仿宋" w:hAnsi="仿宋" w:eastAsia="仿宋" w:cs="仿宋"/>
          <w:color w:val="000000"/>
          <w:sz w:val="24"/>
          <w:szCs w:val="24"/>
        </w:rPr>
        <w:t>时交货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每</w:t>
      </w:r>
      <w:r>
        <w:rPr>
          <w:rFonts w:hint="eastAsia" w:ascii="仿宋" w:hAnsi="仿宋" w:eastAsia="仿宋" w:cs="仿宋"/>
          <w:color w:val="000000"/>
          <w:sz w:val="24"/>
          <w:szCs w:val="24"/>
        </w:rPr>
        <w:t>逾期</w:t>
      </w:r>
      <w:r>
        <w:rPr>
          <w:rFonts w:hint="eastAsia" w:ascii="仿宋" w:hAnsi="仿宋" w:eastAsia="仿宋" w:cs="仿宋"/>
          <w:color w:val="000000"/>
          <w:sz w:val="24"/>
          <w:szCs w:val="24"/>
          <w:lang w:val="en-US" w:eastAsia="zh-CN"/>
        </w:rPr>
        <w:t>一日</w:t>
      </w:r>
      <w:r>
        <w:rPr>
          <w:rFonts w:hint="eastAsia" w:ascii="仿宋" w:hAnsi="仿宋" w:eastAsia="仿宋" w:cs="仿宋"/>
          <w:color w:val="000000"/>
          <w:sz w:val="24"/>
          <w:szCs w:val="24"/>
        </w:rPr>
        <w:t>，应向甲方支付迟延履行的违约金，每日违约金按逾期交货货款金额万分之五计算，</w:t>
      </w:r>
      <w:r>
        <w:rPr>
          <w:rFonts w:hint="eastAsia" w:ascii="仿宋" w:hAnsi="仿宋" w:eastAsia="仿宋" w:cs="仿宋"/>
          <w:color w:val="000000"/>
          <w:sz w:val="24"/>
          <w:szCs w:val="24"/>
          <w:lang w:val="en-US" w:eastAsia="zh-CN"/>
        </w:rPr>
        <w:t>乙方逾期交货超过【】日，视为乙方根本违约，甲方有权单方解除合同，解除合同的通知送达乙方之日视为合同已解除，同时乙方</w:t>
      </w:r>
      <w:r>
        <w:rPr>
          <w:rFonts w:hint="eastAsia" w:ascii="仿宋" w:hAnsi="仿宋" w:eastAsia="仿宋" w:cs="仿宋"/>
          <w:color w:val="000000"/>
          <w:sz w:val="24"/>
          <w:szCs w:val="24"/>
        </w:rPr>
        <w:t>应向甲方支付本合同总价款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20 </w:t>
      </w:r>
      <w:r>
        <w:rPr>
          <w:rFonts w:hint="eastAsia" w:ascii="仿宋" w:hAnsi="仿宋" w:eastAsia="仿宋" w:cs="仿宋"/>
          <w:color w:val="000000"/>
          <w:sz w:val="24"/>
          <w:szCs w:val="24"/>
        </w:rPr>
        <w:t>%的违约金。</w:t>
      </w:r>
    </w:p>
    <w:p w14:paraId="2BFECAB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如交付的产品数量、品种、规格、质量不符合国家标准和合同约定的由乙方负责包换、退货，并承担由此给甲方造成的所有经济损失</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乙方退换货【】次后货物仍不符合国家标准和合同约定或拒绝退换货的，视为乙方根本违约，甲方有权单方解除合同，解除合同的通知送达乙方之日视为合同已解除，同时乙方</w:t>
      </w:r>
      <w:r>
        <w:rPr>
          <w:rFonts w:hint="eastAsia" w:ascii="仿宋" w:hAnsi="仿宋" w:eastAsia="仿宋" w:cs="仿宋"/>
          <w:color w:val="000000"/>
          <w:sz w:val="24"/>
          <w:szCs w:val="24"/>
        </w:rPr>
        <w:t>应向甲方支付本合同总价款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20 </w:t>
      </w:r>
      <w:r>
        <w:rPr>
          <w:rFonts w:hint="eastAsia" w:ascii="仿宋" w:hAnsi="仿宋" w:eastAsia="仿宋" w:cs="仿宋"/>
          <w:color w:val="000000"/>
          <w:sz w:val="24"/>
          <w:szCs w:val="24"/>
        </w:rPr>
        <w:t>%的违约金。</w:t>
      </w:r>
    </w:p>
    <w:p w14:paraId="286CF96C">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2、除前款约定外，乙方未按合同要求提供产品，且质量不能满足技术要求的，甲方有权终止合同，同时要求承担本合同总价款20％的违约金</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违约金不足以弥补损失的，由乙方另行支付</w:t>
      </w:r>
      <w:r>
        <w:rPr>
          <w:rFonts w:hint="eastAsia" w:ascii="仿宋" w:hAnsi="仿宋" w:eastAsia="仿宋" w:cs="仿宋"/>
          <w:color w:val="000000"/>
          <w:sz w:val="24"/>
          <w:szCs w:val="24"/>
        </w:rPr>
        <w:t>。</w:t>
      </w:r>
    </w:p>
    <w:p w14:paraId="61AC38D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3、自本合同签订之日起，若甲方无故中途退货，应向乙方支付退货部分货款的</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20 </w:t>
      </w:r>
      <w:r>
        <w:rPr>
          <w:rFonts w:hint="eastAsia" w:ascii="仿宋" w:hAnsi="仿宋" w:eastAsia="仿宋" w:cs="仿宋"/>
          <w:color w:val="000000"/>
          <w:sz w:val="24"/>
          <w:szCs w:val="24"/>
        </w:rPr>
        <w:t>%的违约金。</w:t>
      </w:r>
    </w:p>
    <w:p w14:paraId="43BEFFD7">
      <w:pPr>
        <w:pStyle w:val="2"/>
        <w:ind w:left="0" w:firstLine="480" w:firstLineChars="200"/>
        <w:rPr>
          <w:rFonts w:hint="eastAsia" w:ascii="仿宋" w:hAnsi="仿宋" w:eastAsia="仿宋" w:cs="仿宋"/>
          <w:sz w:val="24"/>
          <w:lang w:val="en-US" w:eastAsia="zh-CN"/>
        </w:rPr>
      </w:pPr>
      <w:r>
        <w:rPr>
          <w:rFonts w:hint="eastAsia" w:ascii="仿宋" w:hAnsi="仿宋" w:eastAsia="仿宋" w:cs="仿宋"/>
          <w:color w:val="000000"/>
          <w:sz w:val="24"/>
          <w:szCs w:val="24"/>
        </w:rPr>
        <w:t>4、甲方应当按时向乙方支付货款，逾期付款的，应向乙方支付迟延履行的违约金，每日违约金按逾期付款金额的万分之贰计算</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因乙方迟延提供发票导致甲方顺延付款期限的，甲方不承担违约责任</w:t>
      </w:r>
      <w:r>
        <w:rPr>
          <w:rFonts w:hint="eastAsia" w:ascii="仿宋" w:hAnsi="仿宋" w:eastAsia="仿宋" w:cs="仿宋"/>
          <w:color w:val="000000"/>
          <w:sz w:val="24"/>
          <w:szCs w:val="24"/>
        </w:rPr>
        <w:t>。</w:t>
      </w:r>
    </w:p>
    <w:p w14:paraId="470D39D4">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kern w:val="2"/>
          <w:sz w:val="24"/>
          <w:szCs w:val="24"/>
          <w:u w:val="none"/>
          <w:lang w:val="en-US" w:eastAsia="zh-CN" w:bidi="ar-SA"/>
        </w:rPr>
        <w:t>5、合同约定的其他违约条款。</w:t>
      </w:r>
    </w:p>
    <w:p w14:paraId="42406917">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第九条：不可抗力：</w:t>
      </w:r>
    </w:p>
    <w:p w14:paraId="594C2E4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5BD5CF6B">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第十条：通知：</w:t>
      </w:r>
    </w:p>
    <w:p w14:paraId="538FB81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18"/>
          <w:szCs w:val="22"/>
          <w:lang w:eastAsia="zh-CN"/>
        </w:rPr>
      </w:pPr>
      <w:r>
        <w:rPr>
          <w:rFonts w:hint="eastAsia" w:ascii="仿宋" w:hAnsi="仿宋" w:eastAsia="仿宋" w:cs="仿宋"/>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0426A0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kern w:val="2"/>
          <w:sz w:val="24"/>
          <w:szCs w:val="24"/>
          <w:u w:val="none"/>
          <w:lang w:val="en-US" w:eastAsia="zh-CN" w:bidi="ar-SA"/>
        </w:rPr>
        <w:t>甲方：</w:t>
      </w:r>
      <w:r>
        <w:rPr>
          <w:rFonts w:hint="eastAsia" w:ascii="仿宋" w:hAnsi="仿宋" w:eastAsia="仿宋" w:cs="仿宋"/>
          <w:color w:val="000000"/>
          <w:sz w:val="24"/>
          <w:szCs w:val="24"/>
        </w:rPr>
        <w:t>陕西中医药大学第二附属医院</w:t>
      </w:r>
    </w:p>
    <w:p w14:paraId="29EB445B">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kern w:val="2"/>
          <w:sz w:val="24"/>
          <w:szCs w:val="24"/>
          <w:u w:val="none"/>
          <w:lang w:val="en-US" w:eastAsia="zh-CN" w:bidi="ar-SA"/>
        </w:rPr>
        <w:t>地址：陕西省咸阳市渭阳西路5号（秦都院区）</w:t>
      </w:r>
    </w:p>
    <w:p w14:paraId="1CF45C4E">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kern w:val="2"/>
          <w:sz w:val="24"/>
          <w:szCs w:val="24"/>
          <w:u w:val="none"/>
          <w:lang w:val="en-US" w:eastAsia="zh-CN" w:bidi="ar-SA"/>
        </w:rPr>
        <w:t xml:space="preserve">      陕西省西咸新区沣西新城龙台观路831号（西咸院区） </w:t>
      </w:r>
    </w:p>
    <w:p w14:paraId="675D52AC">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kern w:val="2"/>
          <w:sz w:val="24"/>
          <w:szCs w:val="24"/>
          <w:u w:val="none"/>
          <w:lang w:val="en-US" w:eastAsia="zh-CN" w:bidi="ar-SA"/>
        </w:rPr>
        <w:t>联系人：             联系电话：</w:t>
      </w:r>
    </w:p>
    <w:p w14:paraId="34E7DAE3">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32"/>
          <w:szCs w:val="32"/>
          <w:u w:val="single" w:color="auto"/>
          <w:lang w:val="en-US" w:eastAsia="zh-CN"/>
        </w:rPr>
      </w:pPr>
      <w:r>
        <w:rPr>
          <w:rFonts w:hint="eastAsia" w:ascii="仿宋" w:hAnsi="仿宋" w:eastAsia="仿宋" w:cs="仿宋"/>
          <w:color w:val="000000"/>
          <w:kern w:val="2"/>
          <w:sz w:val="24"/>
          <w:szCs w:val="24"/>
          <w:u w:val="none"/>
          <w:lang w:val="en-US" w:eastAsia="zh-CN" w:bidi="ar-SA"/>
        </w:rPr>
        <w:t>乙方：</w:t>
      </w:r>
    </w:p>
    <w:p w14:paraId="496D4D7A">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地址：</w:t>
      </w:r>
    </w:p>
    <w:p w14:paraId="7C501F3E">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kern w:val="2"/>
          <w:sz w:val="24"/>
          <w:szCs w:val="24"/>
          <w:u w:val="none"/>
          <w:lang w:val="en-US" w:eastAsia="zh-CN" w:bidi="ar-SA"/>
        </w:rPr>
        <w:t>联系人：                 联系电话：</w:t>
      </w:r>
    </w:p>
    <w:p w14:paraId="3BC0611A">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第十一条：纠纷的解决：</w:t>
      </w:r>
    </w:p>
    <w:p w14:paraId="28F4E13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本合同在履行过程中发生的任何争议，</w:t>
      </w:r>
      <w:r>
        <w:rPr>
          <w:rFonts w:hint="eastAsia" w:ascii="仿宋" w:hAnsi="仿宋" w:eastAsia="仿宋" w:cs="仿宋"/>
          <w:color w:val="000000"/>
          <w:sz w:val="24"/>
          <w:szCs w:val="24"/>
          <w:lang w:eastAsia="zh-CN"/>
        </w:rPr>
        <w:t>应</w:t>
      </w:r>
      <w:r>
        <w:rPr>
          <w:rFonts w:hint="eastAsia" w:ascii="仿宋" w:hAnsi="仿宋" w:eastAsia="仿宋" w:cs="仿宋"/>
          <w:color w:val="000000"/>
          <w:sz w:val="24"/>
          <w:szCs w:val="24"/>
        </w:rPr>
        <w:t>由甲、乙双方友好协商解决，协商不成的，</w:t>
      </w:r>
      <w:r>
        <w:rPr>
          <w:rFonts w:hint="eastAsia" w:ascii="仿宋" w:hAnsi="仿宋" w:eastAsia="仿宋" w:cs="仿宋"/>
          <w:color w:val="000000"/>
          <w:sz w:val="24"/>
          <w:szCs w:val="24"/>
          <w:lang w:eastAsia="zh-CN"/>
        </w:rPr>
        <w:t>甲乙双方任意</w:t>
      </w:r>
      <w:r>
        <w:rPr>
          <w:rFonts w:hint="eastAsia" w:ascii="仿宋" w:hAnsi="仿宋" w:eastAsia="仿宋" w:cs="仿宋"/>
          <w:color w:val="000000"/>
          <w:sz w:val="24"/>
          <w:szCs w:val="24"/>
        </w:rPr>
        <w:t>一方有权向甲方所在地人民法院提起诉讼。</w:t>
      </w:r>
    </w:p>
    <w:p w14:paraId="03BA7F1B">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第十二条：以下资料为本合同不可分割部分，与本合同具有同等法律效力：</w:t>
      </w:r>
    </w:p>
    <w:p w14:paraId="79933E2C">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1、招标文件；</w:t>
      </w:r>
    </w:p>
    <w:p w14:paraId="35845C7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2、投标文件</w:t>
      </w:r>
      <w:r>
        <w:rPr>
          <w:rFonts w:hint="eastAsia" w:ascii="仿宋" w:hAnsi="仿宋" w:eastAsia="仿宋" w:cs="仿宋"/>
          <w:color w:val="000000"/>
          <w:sz w:val="24"/>
          <w:szCs w:val="24"/>
          <w:lang w:eastAsia="zh-CN"/>
        </w:rPr>
        <w:t>；</w:t>
      </w:r>
    </w:p>
    <w:p w14:paraId="2E77A6B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3、与本项目有关的其他资料。</w:t>
      </w:r>
    </w:p>
    <w:p w14:paraId="05DADC64">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第十三条</w:t>
      </w:r>
      <w:r>
        <w:rPr>
          <w:rFonts w:hint="eastAsia" w:ascii="仿宋" w:hAnsi="仿宋" w:eastAsia="仿宋" w:cs="仿宋"/>
          <w:color w:val="000000"/>
          <w:sz w:val="24"/>
          <w:szCs w:val="24"/>
        </w:rPr>
        <w:t>：本合同一式</w:t>
      </w:r>
      <w:r>
        <w:rPr>
          <w:rFonts w:hint="eastAsia" w:ascii="仿宋" w:hAnsi="仿宋" w:eastAsia="仿宋" w:cs="仿宋"/>
          <w:color w:val="000000"/>
          <w:sz w:val="24"/>
          <w:szCs w:val="24"/>
          <w:lang w:eastAsia="zh-CN"/>
        </w:rPr>
        <w:t>肆</w:t>
      </w:r>
      <w:r>
        <w:rPr>
          <w:rFonts w:hint="eastAsia" w:ascii="仿宋" w:hAnsi="仿宋" w:eastAsia="仿宋" w:cs="仿宋"/>
          <w:color w:val="000000"/>
          <w:sz w:val="24"/>
          <w:szCs w:val="24"/>
        </w:rPr>
        <w:t>份，甲</w:t>
      </w:r>
      <w:r>
        <w:rPr>
          <w:rFonts w:hint="eastAsia" w:ascii="仿宋" w:hAnsi="仿宋" w:eastAsia="仿宋" w:cs="仿宋"/>
          <w:color w:val="000000"/>
          <w:sz w:val="24"/>
          <w:szCs w:val="24"/>
          <w:lang w:eastAsia="zh-CN"/>
        </w:rPr>
        <w:t>方执</w:t>
      </w:r>
      <w:r>
        <w:rPr>
          <w:rFonts w:hint="eastAsia" w:ascii="仿宋" w:hAnsi="仿宋" w:eastAsia="仿宋" w:cs="仿宋"/>
          <w:color w:val="000000"/>
          <w:sz w:val="24"/>
          <w:szCs w:val="24"/>
        </w:rPr>
        <w:t>贰</w:t>
      </w:r>
      <w:r>
        <w:rPr>
          <w:rFonts w:hint="eastAsia" w:ascii="仿宋" w:hAnsi="仿宋" w:eastAsia="仿宋" w:cs="仿宋"/>
          <w:color w:val="000000"/>
          <w:sz w:val="24"/>
          <w:szCs w:val="24"/>
          <w:lang w:eastAsia="zh-CN"/>
        </w:rPr>
        <w:t>份，</w:t>
      </w:r>
      <w:r>
        <w:rPr>
          <w:rFonts w:hint="eastAsia" w:ascii="仿宋" w:hAnsi="仿宋" w:eastAsia="仿宋" w:cs="仿宋"/>
          <w:color w:val="000000"/>
          <w:sz w:val="24"/>
          <w:szCs w:val="24"/>
        </w:rPr>
        <w:t>乙方执贰份，均具有同等法律效力。</w:t>
      </w:r>
    </w:p>
    <w:p w14:paraId="7FA92EDD">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第十四条</w:t>
      </w:r>
      <w:r>
        <w:rPr>
          <w:rFonts w:hint="eastAsia" w:ascii="仿宋" w:hAnsi="仿宋" w:eastAsia="仿宋" w:cs="仿宋"/>
          <w:color w:val="000000"/>
          <w:sz w:val="24"/>
          <w:szCs w:val="24"/>
        </w:rPr>
        <w:t>：本合同未尽事宜，由甲、乙双方另行签订补充协议，补充协议作为</w:t>
      </w:r>
      <w:r>
        <w:rPr>
          <w:rFonts w:hint="eastAsia" w:ascii="仿宋" w:hAnsi="仿宋" w:eastAsia="仿宋" w:cs="仿宋"/>
          <w:color w:val="000000"/>
          <w:sz w:val="24"/>
          <w:szCs w:val="24"/>
          <w:lang w:eastAsia="zh-CN"/>
        </w:rPr>
        <w:t>本</w:t>
      </w:r>
      <w:r>
        <w:rPr>
          <w:rFonts w:hint="eastAsia" w:ascii="仿宋" w:hAnsi="仿宋" w:eastAsia="仿宋" w:cs="仿宋"/>
          <w:color w:val="000000"/>
          <w:sz w:val="24"/>
          <w:szCs w:val="24"/>
        </w:rPr>
        <w:t>合同附件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与本合同具有同等法律效力。</w:t>
      </w:r>
    </w:p>
    <w:p w14:paraId="2BFB2993">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第十五条</w:t>
      </w:r>
      <w:r>
        <w:rPr>
          <w:rFonts w:hint="eastAsia" w:ascii="仿宋" w:hAnsi="仿宋" w:eastAsia="仿宋" w:cs="仿宋"/>
          <w:color w:val="000000"/>
          <w:sz w:val="24"/>
          <w:szCs w:val="24"/>
        </w:rPr>
        <w:t>：本合同自甲、乙双方签字并加盖公章之日起生效。</w:t>
      </w:r>
    </w:p>
    <w:p w14:paraId="33C9EA3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color w:val="000000"/>
          <w:sz w:val="24"/>
          <w:szCs w:val="24"/>
        </w:rPr>
        <w:t>第十六条</w:t>
      </w:r>
      <w:r>
        <w:rPr>
          <w:rFonts w:hint="eastAsia" w:ascii="仿宋" w:hAnsi="仿宋" w:eastAsia="仿宋" w:cs="仿宋"/>
          <w:color w:val="000000"/>
          <w:sz w:val="24"/>
          <w:szCs w:val="24"/>
        </w:rPr>
        <w:t>：</w:t>
      </w:r>
      <w:r>
        <w:rPr>
          <w:rFonts w:hint="eastAsia" w:ascii="仿宋" w:hAnsi="仿宋" w:eastAsia="仿宋" w:cs="仿宋"/>
          <w:sz w:val="24"/>
          <w:szCs w:val="24"/>
        </w:rPr>
        <w:t>本合同有效期自</w:t>
      </w:r>
      <w:r>
        <w:rPr>
          <w:rFonts w:hint="eastAsia" w:ascii="仿宋" w:hAnsi="仿宋" w:eastAsia="仿宋" w:cs="仿宋"/>
          <w:sz w:val="24"/>
          <w:szCs w:val="24"/>
          <w:u w:val="single" w:color="auto"/>
        </w:rPr>
        <w:t>合同生效之日</w:t>
      </w:r>
      <w:r>
        <w:rPr>
          <w:rFonts w:hint="eastAsia" w:ascii="仿宋" w:hAnsi="仿宋" w:eastAsia="仿宋" w:cs="仿宋"/>
          <w:sz w:val="24"/>
          <w:szCs w:val="24"/>
        </w:rPr>
        <w:t>起</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color="auto"/>
          <w:lang w:val="en-US" w:eastAsia="zh-CN"/>
        </w:rPr>
        <w:t xml:space="preserve"> 为止</w:t>
      </w:r>
      <w:r>
        <w:rPr>
          <w:rFonts w:hint="eastAsia" w:ascii="仿宋" w:hAnsi="仿宋" w:eastAsia="仿宋" w:cs="仿宋"/>
          <w:sz w:val="24"/>
          <w:szCs w:val="24"/>
          <w:lang w:val="en-US" w:eastAsia="zh-CN"/>
        </w:rPr>
        <w:t>。</w:t>
      </w:r>
    </w:p>
    <w:p w14:paraId="0D8A21B7">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第十七条：</w:t>
      </w:r>
      <w:r>
        <w:rPr>
          <w:rFonts w:hint="eastAsia" w:ascii="仿宋" w:hAnsi="仿宋" w:eastAsia="仿宋" w:cs="仿宋"/>
          <w:color w:val="000000"/>
          <w:sz w:val="24"/>
          <w:szCs w:val="24"/>
        </w:rPr>
        <w:t>本合同应当按照中华人民共和国的现行法律、法规进行解释。</w:t>
      </w:r>
    </w:p>
    <w:p w14:paraId="32811522">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（本页以下无正文）</w:t>
      </w:r>
    </w:p>
    <w:p w14:paraId="667562CD">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rPr>
        <w:sectPr>
          <w:footerReference r:id="rId13" w:type="default"/>
          <w:pgSz w:w="11906" w:h="16838"/>
          <w:pgMar w:top="1440" w:right="1800" w:bottom="1402" w:left="1620" w:header="851" w:footer="992" w:gutter="0"/>
          <w:pgNumType w:fmt="decimal" w:start="2"/>
          <w:cols w:space="720" w:num="1"/>
          <w:docGrid w:type="lines" w:linePitch="312" w:charSpace="0"/>
        </w:sectPr>
      </w:pPr>
    </w:p>
    <w:p w14:paraId="5CB2F6E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b/>
          <w:color w:val="000000"/>
          <w:sz w:val="24"/>
          <w:szCs w:val="24"/>
        </w:rPr>
        <w:t>甲方（盖章）：</w:t>
      </w:r>
      <w:r>
        <w:rPr>
          <w:rFonts w:hint="eastAsia" w:ascii="仿宋" w:hAnsi="仿宋" w:eastAsia="仿宋" w:cs="仿宋"/>
          <w:color w:val="000000"/>
          <w:sz w:val="24"/>
          <w:szCs w:val="24"/>
        </w:rPr>
        <w:t>陕西中医药大学第二附</w:t>
      </w:r>
      <w:r>
        <w:rPr>
          <w:rFonts w:hint="eastAsia" w:ascii="仿宋" w:hAnsi="仿宋" w:eastAsia="仿宋" w:cs="仿宋"/>
          <w:color w:val="000000"/>
          <w:sz w:val="24"/>
          <w:szCs w:val="24"/>
          <w:lang w:val="en-US" w:eastAsia="zh-CN"/>
        </w:rPr>
        <w:t>属医院</w:t>
      </w:r>
    </w:p>
    <w:p w14:paraId="3B31487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4"/>
          <w:szCs w:val="24"/>
        </w:rPr>
      </w:pPr>
    </w:p>
    <w:p w14:paraId="57AA821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法定代表人（签章）：</w:t>
      </w:r>
    </w:p>
    <w:p w14:paraId="14956E8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4"/>
          <w:szCs w:val="24"/>
        </w:rPr>
      </w:pPr>
    </w:p>
    <w:p w14:paraId="7455DEF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授权委托人</w:t>
      </w:r>
      <w:r>
        <w:rPr>
          <w:rFonts w:hint="eastAsia" w:ascii="仿宋" w:hAnsi="仿宋" w:eastAsia="仿宋" w:cs="仿宋"/>
          <w:color w:val="000000"/>
          <w:sz w:val="24"/>
          <w:szCs w:val="24"/>
        </w:rPr>
        <w:t>：</w:t>
      </w:r>
    </w:p>
    <w:p w14:paraId="3CD4B2D2">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000000"/>
          <w:sz w:val="24"/>
          <w:szCs w:val="24"/>
        </w:rPr>
      </w:pPr>
    </w:p>
    <w:p w14:paraId="6E80B8A4">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18"/>
          <w:szCs w:val="22"/>
          <w:lang w:eastAsia="zh-CN"/>
        </w:rPr>
      </w:pPr>
      <w:r>
        <w:rPr>
          <w:rFonts w:hint="eastAsia" w:ascii="仿宋" w:hAnsi="仿宋" w:eastAsia="仿宋" w:cs="仿宋"/>
          <w:color w:val="000000"/>
          <w:sz w:val="24"/>
          <w:szCs w:val="24"/>
          <w:lang w:eastAsia="zh-CN"/>
        </w:rPr>
        <w:t>经办</w:t>
      </w:r>
      <w:r>
        <w:rPr>
          <w:rFonts w:hint="eastAsia" w:ascii="仿宋" w:hAnsi="仿宋" w:eastAsia="仿宋" w:cs="仿宋"/>
          <w:color w:val="000000"/>
          <w:sz w:val="24"/>
          <w:szCs w:val="24"/>
        </w:rPr>
        <w:t>人：</w:t>
      </w:r>
    </w:p>
    <w:p w14:paraId="11CE2E79">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年   月    日  </w:t>
      </w:r>
    </w:p>
    <w:p w14:paraId="46E1765B">
      <w:pPr>
        <w:pStyle w:val="2"/>
        <w:keepNext w:val="0"/>
        <w:keepLines w:val="0"/>
        <w:pageBreakBefore w:val="0"/>
        <w:widowControl w:val="0"/>
        <w:kinsoku/>
        <w:wordWrap/>
        <w:overflowPunct/>
        <w:topLinePunct w:val="0"/>
        <w:autoSpaceDE/>
        <w:autoSpaceDN/>
        <w:bidi w:val="0"/>
        <w:adjustRightInd/>
        <w:snapToGrid/>
        <w:spacing w:line="480" w:lineRule="exact"/>
        <w:ind w:left="723" w:leftChars="0" w:hanging="723" w:hangingChars="300"/>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 xml:space="preserve">    </w:t>
      </w:r>
    </w:p>
    <w:p w14:paraId="08129F34">
      <w:pPr>
        <w:rPr>
          <w:rFonts w:hint="eastAsia" w:ascii="仿宋" w:hAnsi="仿宋" w:eastAsia="仿宋" w:cs="仿宋"/>
          <w:b/>
          <w:color w:val="000000"/>
          <w:sz w:val="24"/>
          <w:szCs w:val="24"/>
          <w:lang w:val="en-US" w:eastAsia="zh-CN"/>
        </w:rPr>
      </w:pPr>
    </w:p>
    <w:p w14:paraId="6D85FC79">
      <w:pPr>
        <w:pStyle w:val="2"/>
        <w:keepNext w:val="0"/>
        <w:keepLines w:val="0"/>
        <w:pageBreakBefore w:val="0"/>
        <w:widowControl w:val="0"/>
        <w:kinsoku/>
        <w:wordWrap/>
        <w:overflowPunct/>
        <w:topLinePunct w:val="0"/>
        <w:autoSpaceDE/>
        <w:autoSpaceDN/>
        <w:bidi w:val="0"/>
        <w:adjustRightInd/>
        <w:snapToGrid/>
        <w:spacing w:line="480" w:lineRule="exact"/>
        <w:ind w:left="723" w:leftChars="0" w:hanging="723" w:hangingChars="300"/>
        <w:textAlignment w:val="auto"/>
        <w:rPr>
          <w:rFonts w:hint="eastAsia" w:ascii="仿宋" w:hAnsi="仿宋" w:eastAsia="仿宋" w:cs="仿宋"/>
          <w:b w:val="0"/>
          <w:bCs/>
          <w:color w:val="000000"/>
          <w:sz w:val="24"/>
          <w:szCs w:val="24"/>
          <w:lang w:eastAsia="zh-CN"/>
        </w:rPr>
      </w:pP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乙方（盖章）：</w:t>
      </w:r>
    </w:p>
    <w:p w14:paraId="2202D1CD">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color w:val="000000"/>
          <w:sz w:val="24"/>
          <w:szCs w:val="24"/>
          <w:lang w:eastAsia="zh-CN"/>
        </w:rPr>
      </w:pPr>
    </w:p>
    <w:p w14:paraId="104CF1D7">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法定代表人（签章）：</w:t>
      </w:r>
    </w:p>
    <w:p w14:paraId="727A268C">
      <w:pPr>
        <w:spacing w:line="360" w:lineRule="auto"/>
        <w:rPr>
          <w:rFonts w:hint="eastAsia" w:ascii="仿宋" w:hAnsi="仿宋" w:eastAsia="仿宋" w:cs="仿宋"/>
          <w:color w:val="000000"/>
          <w:sz w:val="24"/>
          <w:szCs w:val="24"/>
          <w:lang w:eastAsia="zh-CN"/>
        </w:rPr>
      </w:pPr>
    </w:p>
    <w:p w14:paraId="3E078CC9">
      <w:pPr>
        <w:spacing w:line="360" w:lineRule="auto"/>
        <w:rPr>
          <w:rFonts w:hint="eastAsia" w:ascii="仿宋" w:eastAsia="仿宋" w:cs="仿宋"/>
          <w:sz w:val="24"/>
        </w:rPr>
      </w:pPr>
      <w:r>
        <w:rPr>
          <w:rFonts w:hint="eastAsia" w:ascii="仿宋" w:hAnsi="仿宋" w:eastAsia="仿宋" w:cs="仿宋"/>
          <w:color w:val="000000"/>
          <w:sz w:val="24"/>
          <w:szCs w:val="24"/>
          <w:lang w:eastAsia="zh-CN"/>
        </w:rPr>
        <w:t>授权委托</w:t>
      </w:r>
      <w:r>
        <w:rPr>
          <w:rFonts w:hint="eastAsia" w:ascii="仿宋" w:hAnsi="仿宋" w:eastAsia="仿宋" w:cs="仿宋"/>
          <w:color w:val="000000"/>
          <w:sz w:val="24"/>
          <w:szCs w:val="24"/>
        </w:rPr>
        <w:t>人：</w:t>
      </w:r>
    </w:p>
    <w:p w14:paraId="4D62C15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577BAA1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45BE283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2F53C1D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128B4FB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66BB7F9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4F7E60F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65625CB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489B553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2CA5D1C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530710E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7C27BE07">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sectPr>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SZRFYZB202407-119</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49795C0">
      <w:pPr>
        <w:pStyle w:val="17"/>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9313BDC">
      <w:pPr>
        <w:pStyle w:val="17"/>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lang w:val="en-US" w:eastAsia="zh-CN"/>
        </w:rPr>
        <w:t>2024-2025年新生儿科专用物资采购项目（标段三）</w:t>
      </w:r>
    </w:p>
    <w:p w14:paraId="2259B336">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34DDBDC0">
      <w:pPr>
        <w:pStyle w:val="2"/>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50DDD6EA">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cs="宋体"/>
          <w:color w:val="000000"/>
          <w:kern w:val="0"/>
          <w:sz w:val="28"/>
          <w:szCs w:val="28"/>
          <w:highlight w:val="none"/>
          <w:lang w:val="en-US" w:eastAsia="zh-CN"/>
        </w:rPr>
        <w:t>磋商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cs="宋体"/>
          <w:color w:val="000000"/>
          <w:kern w:val="0"/>
          <w:sz w:val="28"/>
          <w:szCs w:val="28"/>
          <w:highlight w:val="none"/>
          <w:lang w:eastAsia="zh-CN"/>
        </w:rPr>
        <w:t>供应商</w:t>
      </w:r>
      <w:r>
        <w:rPr>
          <w:rStyle w:val="32"/>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199F31C4">
      <w:pPr>
        <w:pStyle w:val="2"/>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25418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eastAsia="宋体" w:cs="宋体"/>
          <w:sz w:val="24"/>
          <w:szCs w:val="24"/>
          <w:highlight w:val="none"/>
          <w:lang w:val="en-US" w:eastAsia="zh-CN"/>
        </w:rPr>
        <w:t>2024-2025年新生儿科专用物资采购项目（标段三）</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SZRFYZB202407-1</w:t>
      </w:r>
      <w:r>
        <w:rPr>
          <w:rStyle w:val="32"/>
          <w:rFonts w:hint="eastAsia" w:ascii="宋体" w:hAnsi="宋体" w:cs="宋体"/>
          <w:sz w:val="24"/>
          <w:szCs w:val="24"/>
          <w:highlight w:val="none"/>
          <w:lang w:val="en-US" w:eastAsia="zh-CN"/>
        </w:rPr>
        <w:t>19</w:t>
      </w:r>
      <w:r>
        <w:rPr>
          <w:rStyle w:val="32"/>
          <w:rFonts w:hint="eastAsia" w:ascii="宋体" w:hAnsi="宋体" w:eastAsia="宋体" w:cs="宋体"/>
          <w:sz w:val="24"/>
          <w:szCs w:val="24"/>
          <w:highlight w:val="none"/>
        </w:rPr>
        <w:t>）</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，完全理解并同意</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eastAsia="zh-CN"/>
        </w:rPr>
        <w:t>供应商</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2B024DD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磋商报价表</w:t>
      </w:r>
    </w:p>
    <w:p w14:paraId="04370DEC">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eastAsia="宋体" w:cs="宋体"/>
          <w:bCs/>
          <w:sz w:val="24"/>
          <w:szCs w:val="24"/>
          <w:highlight w:val="none"/>
          <w:lang w:val="en-US" w:eastAsia="zh-CN"/>
        </w:rPr>
      </w:pPr>
      <w:bookmarkStart w:id="8" w:name="_Toc193187105"/>
      <w:bookmarkStart w:id="9" w:name="_Toc188808840"/>
      <w:bookmarkStart w:id="10" w:name="_Toc193126889"/>
      <w:bookmarkStart w:id="11" w:name="_Toc194663926"/>
      <w:r>
        <w:rPr>
          <w:rFonts w:hint="eastAsia" w:ascii="宋体" w:hAnsi="宋体" w:eastAsia="宋体" w:cs="宋体"/>
          <w:bCs/>
          <w:sz w:val="24"/>
          <w:szCs w:val="24"/>
          <w:highlight w:val="none"/>
        </w:rPr>
        <w:t>项目名称：</w:t>
      </w:r>
      <w:r>
        <w:rPr>
          <w:rFonts w:hint="eastAsia" w:ascii="宋体" w:hAnsi="宋体" w:cs="宋体"/>
          <w:bCs/>
          <w:sz w:val="24"/>
          <w:szCs w:val="24"/>
          <w:highlight w:val="none"/>
          <w:lang w:val="en-US" w:eastAsia="zh-CN"/>
        </w:rPr>
        <w:t>陕西中医药大学第二附属医院</w:t>
      </w:r>
      <w:r>
        <w:rPr>
          <w:rFonts w:hint="eastAsia" w:ascii="宋体" w:hAnsi="宋体" w:eastAsia="宋体" w:cs="宋体"/>
          <w:bCs/>
          <w:sz w:val="24"/>
          <w:szCs w:val="24"/>
          <w:highlight w:val="none"/>
          <w:lang w:val="en-US" w:eastAsia="zh-CN"/>
        </w:rPr>
        <w:t>2024-2025年新生儿科专用物资采购项目（标段三）</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default" w:ascii="宋体" w:hAnsi="宋体" w:eastAsia="宋体" w:cs="宋体"/>
          <w:sz w:val="24"/>
          <w:szCs w:val="24"/>
          <w:highlight w:val="none"/>
          <w:lang w:val="en-US"/>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w:t>
      </w:r>
      <w:r>
        <w:rPr>
          <w:rFonts w:hint="eastAsia" w:ascii="宋体" w:hAnsi="宋体" w:cs="宋体"/>
          <w:bCs/>
          <w:sz w:val="24"/>
          <w:szCs w:val="24"/>
          <w:highlight w:val="none"/>
          <w:lang w:val="en-US" w:eastAsia="zh-CN"/>
        </w:rPr>
        <w:t>19</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F5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47443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报价（单价）</w:t>
            </w:r>
          </w:p>
        </w:tc>
        <w:tc>
          <w:tcPr>
            <w:tcW w:w="6729" w:type="dxa"/>
            <w:noWrap w:val="0"/>
            <w:vAlign w:val="center"/>
          </w:tcPr>
          <w:p w14:paraId="4FCDEA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CF941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p w14:paraId="5A2D9D90">
            <w:pPr>
              <w:pStyle w:val="2"/>
              <w:ind w:left="0" w:leftChars="0" w:firstLine="0" w:firstLineChars="0"/>
              <w:rPr>
                <w:rFonts w:hint="eastAsia" w:eastAsia="宋体"/>
                <w:lang w:eastAsia="zh-CN"/>
              </w:rPr>
            </w:pPr>
            <w:r>
              <w:rPr>
                <w:rFonts w:hint="eastAsia" w:ascii="宋体" w:hAnsi="宋体" w:cs="宋体"/>
                <w:bCs/>
                <w:sz w:val="24"/>
                <w:szCs w:val="24"/>
                <w:highlight w:val="none"/>
                <w:u w:val="single"/>
                <w:lang w:eastAsia="zh-CN"/>
              </w:rPr>
              <w:t>（</w:t>
            </w:r>
            <w:r>
              <w:rPr>
                <w:rFonts w:hint="eastAsia" w:ascii="宋体" w:hAnsi="宋体" w:cs="宋体"/>
                <w:bCs/>
                <w:sz w:val="24"/>
                <w:szCs w:val="24"/>
                <w:highlight w:val="none"/>
                <w:u w:val="single"/>
                <w:lang w:val="en-US" w:eastAsia="zh-CN"/>
              </w:rPr>
              <w:t>以**元/片的形式进行报价</w:t>
            </w:r>
            <w:r>
              <w:rPr>
                <w:rFonts w:hint="eastAsia" w:ascii="宋体" w:hAnsi="宋体" w:cs="宋体"/>
                <w:bCs/>
                <w:sz w:val="24"/>
                <w:szCs w:val="24"/>
                <w:highlight w:val="none"/>
                <w:u w:val="single"/>
                <w:lang w:eastAsia="zh-CN"/>
              </w:rPr>
              <w:t>）</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为完成合同规定的工作所需要的全部费用，包括但不限于人员成本（含劳动保险、福利、加班费等）、</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rPr>
        <w:t>、</w:t>
      </w:r>
      <w:r>
        <w:rPr>
          <w:rFonts w:hint="eastAsia" w:ascii="宋体" w:hAnsi="宋体" w:eastAsia="宋体" w:cs="宋体"/>
          <w:color w:val="000000"/>
          <w:sz w:val="24"/>
          <w:szCs w:val="24"/>
        </w:rPr>
        <w:t>药剂费、劳保用品及办公用品费、环保检测费、设备维修保养费、管理费、保险费、税费等。</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
        <w:rPr>
          <w:rFonts w:hint="eastAsia" w:ascii="宋体" w:hAnsi="宋体" w:eastAsia="宋体" w:cs="宋体"/>
          <w:sz w:val="24"/>
          <w:szCs w:val="24"/>
          <w:highlight w:val="none"/>
          <w:lang w:val="en-US" w:eastAsia="zh-CN"/>
        </w:rPr>
      </w:pPr>
    </w:p>
    <w:p w14:paraId="7F84AE75">
      <w:pPr>
        <w:pStyle w:val="2"/>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595E9886">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陕西中医药大学第二附属医院2024-2025年新生儿科专用物资采购项目（标段三）</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w:t>
      </w:r>
      <w:r>
        <w:rPr>
          <w:rFonts w:hint="eastAsia" w:ascii="宋体" w:hAnsi="宋体" w:cs="宋体"/>
          <w:bCs/>
          <w:sz w:val="24"/>
          <w:szCs w:val="24"/>
          <w:highlight w:val="none"/>
          <w:lang w:val="en-US" w:eastAsia="zh-CN"/>
        </w:rPr>
        <w:t>19</w:t>
      </w:r>
    </w:p>
    <w:tbl>
      <w:tblPr>
        <w:tblStyle w:val="21"/>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759478D7">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C94099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6DF3F6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4F02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CE860B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ED65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AF2348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27F510">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27A7CA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7894D9">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3EDAC5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C545A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4F84F9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7D329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F95B4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FA87BC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4E29D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0F6786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A4E3C3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0E62C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7668F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34F5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3A3EF2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081B7D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CB3D7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3F9C6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D50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AD2926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0FF8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35E67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E8D1B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EE15B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1D0867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92DA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53AC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B738B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336684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A28A6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5670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D146F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E4993A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67B60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DD8EA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C2D6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EC59C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6F5BB2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2777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E966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8D2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82F1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E8D33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1D346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6FBA2F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A3F94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656FE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51652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5536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02028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264BD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FC9584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49C9A32">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3B48926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BB93D1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71CB3B6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1423C7B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752121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2A80A857">
      <w:pPr>
        <w:pStyle w:val="2"/>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72B13594">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陕西中医药大学第二附属医院2024-2025年新生儿科专用物资采购项目（标段三）</w:t>
      </w:r>
    </w:p>
    <w:p w14:paraId="37D24797">
      <w:pPr>
        <w:keepNext w:val="0"/>
        <w:keepLines w:val="0"/>
        <w:pageBreakBefore w:val="0"/>
        <w:kinsoku/>
        <w:wordWrap/>
        <w:overflowPunct/>
        <w:topLinePunct w:val="0"/>
        <w:bidi w:val="0"/>
        <w:spacing w:line="360" w:lineRule="auto"/>
        <w:ind w:right="0" w:firstLine="480" w:firstLineChars="2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w:t>
      </w:r>
      <w:r>
        <w:rPr>
          <w:rFonts w:hint="eastAsia" w:ascii="宋体" w:hAnsi="宋体" w:cs="宋体"/>
          <w:bCs/>
          <w:sz w:val="24"/>
          <w:szCs w:val="24"/>
          <w:highlight w:val="none"/>
          <w:lang w:val="en-US" w:eastAsia="zh-CN"/>
        </w:rPr>
        <w:t>19</w:t>
      </w:r>
    </w:p>
    <w:tbl>
      <w:tblPr>
        <w:tblStyle w:val="21"/>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r>
        <w:rPr>
          <w:rFonts w:hint="eastAsia" w:ascii="宋体" w:hAnsi="宋体" w:eastAsia="宋体" w:cs="Times New Roman"/>
          <w:b/>
          <w:color w:val="auto"/>
          <w:sz w:val="24"/>
          <w:szCs w:val="24"/>
          <w:highlight w:val="none"/>
          <w:lang w:val="en-US" w:eastAsia="zh-CN"/>
        </w:rPr>
        <w:t>如无偏离，直接盖章。</w:t>
      </w:r>
    </w:p>
    <w:p w14:paraId="7ABA73C8">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87103"/>
      <w:bookmarkStart w:id="13" w:name="_Toc193126887"/>
      <w:bookmarkStart w:id="14" w:name="_Toc188808838"/>
      <w:bookmarkStart w:id="15" w:name="_Toc194663924"/>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DFAB8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48995851"/>
      <w:bookmarkStart w:id="17" w:name="_Toc188808839"/>
      <w:bookmarkStart w:id="18" w:name="_Toc193126888"/>
      <w:bookmarkStart w:id="19" w:name="_Toc47261690"/>
      <w:bookmarkStart w:id="20" w:name="_Toc193187104"/>
      <w:bookmarkStart w:id="21" w:name="_Toc47418255"/>
      <w:bookmarkStart w:id="22" w:name="_Toc48791235"/>
      <w:bookmarkStart w:id="23" w:name="_Toc194663925"/>
      <w:bookmarkStart w:id="24" w:name="_Toc47418938"/>
      <w:bookmarkStart w:id="25" w:name="_Toc47418731"/>
      <w:bookmarkStart w:id="26" w:name="_Toc49019236"/>
      <w:bookmarkStart w:id="27" w:name="_Toc49019497"/>
      <w:bookmarkStart w:id="28" w:name="_Toc47262069"/>
      <w:bookmarkStart w:id="29" w:name="_Toc47261885"/>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2F346B33">
      <w:pPr>
        <w:pStyle w:val="9"/>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9"/>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9"/>
        <w:rPr>
          <w:rFonts w:hint="eastAsia" w:ascii="宋体" w:hAnsi="宋体" w:eastAsia="宋体" w:cs="宋体"/>
          <w:sz w:val="24"/>
          <w:szCs w:val="24"/>
          <w:lang w:val="en-US" w:eastAsia="zh-CN"/>
        </w:rPr>
      </w:pPr>
    </w:p>
    <w:p w14:paraId="10D7F8D7">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1D11404">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供应商</w:t>
      </w:r>
      <w:r>
        <w:rPr>
          <w:rStyle w:val="32"/>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10B992B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3816C0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578ACB7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7061F78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25D2CA3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8DB01FF">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9"/>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BEE0842">
      <w:pPr>
        <w:pStyle w:val="9"/>
        <w:rPr>
          <w:rFonts w:hint="eastAsia"/>
        </w:rPr>
      </w:pPr>
    </w:p>
    <w:p w14:paraId="53C7188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1ACE389C">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7482"/>
      <w:bookmarkStart w:id="31" w:name="_Toc18044"/>
      <w:bookmarkStart w:id="32" w:name="_Toc15591"/>
      <w:bookmarkStart w:id="33" w:name="_Toc19326"/>
      <w:bookmarkStart w:id="34" w:name="_Toc12408"/>
      <w:bookmarkStart w:id="35" w:name="_Toc1331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2556"/>
      <w:bookmarkStart w:id="38" w:name="_Toc5624"/>
      <w:bookmarkStart w:id="39" w:name="_Toc15794"/>
      <w:bookmarkStart w:id="40" w:name="_Toc4050"/>
      <w:bookmarkStart w:id="41" w:name="_Toc7264"/>
      <w:bookmarkStart w:id="42" w:name="_Toc26876"/>
      <w:bookmarkStart w:id="43" w:name="_Toc72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bCs/>
          <w:sz w:val="24"/>
          <w:szCs w:val="24"/>
          <w:highlight w:val="none"/>
          <w:u w:val="single"/>
          <w:lang w:val="en-US" w:eastAsia="zh-CN"/>
        </w:rPr>
        <w:t>陕西中医药大学第二附属医院2024-2025年新生儿科专用物资采购项目（标段三）</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w:t>
      </w:r>
      <w:r>
        <w:rPr>
          <w:rFonts w:hint="eastAsia" w:ascii="宋体" w:hAnsi="宋体" w:cs="宋体"/>
          <w:color w:val="000000" w:themeColor="text1"/>
          <w:sz w:val="24"/>
          <w:szCs w:val="24"/>
          <w:highlight w:val="none"/>
          <w:u w:val="singl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6"/>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6"/>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2B799249">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3854"/>
      <w:bookmarkStart w:id="45" w:name="_Toc23408"/>
      <w:bookmarkStart w:id="46" w:name="_Toc6456"/>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bCs/>
          <w:sz w:val="24"/>
          <w:szCs w:val="24"/>
          <w:highlight w:val="none"/>
          <w:u w:val="single"/>
          <w:lang w:val="en-US" w:eastAsia="zh-CN"/>
        </w:rPr>
        <w:t>陕西中医药大学第二附属医院2024-2025年新生儿科专用物资采购项目（标段三）</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w:t>
      </w:r>
      <w:r>
        <w:rPr>
          <w:rFonts w:hint="eastAsia" w:ascii="宋体" w:hAnsi="宋体" w:cs="宋体"/>
          <w:color w:val="000000" w:themeColor="text1"/>
          <w:sz w:val="24"/>
          <w:szCs w:val="24"/>
          <w:highlight w:val="none"/>
          <w:u w:val="singl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9"/>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9"/>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20"/>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20"/>
        <w:rPr>
          <w:rFonts w:hint="eastAsia" w:ascii="宋体" w:hAnsi="宋体" w:eastAsia="宋体" w:cs="宋体"/>
          <w:color w:val="000000" w:themeColor="text1"/>
          <w:sz w:val="24"/>
          <w:szCs w:val="24"/>
          <w:highlight w:val="none"/>
          <w14:textFill>
            <w14:solidFill>
              <w14:schemeClr w14:val="tx1"/>
            </w14:solidFill>
          </w14:textFill>
        </w:rPr>
      </w:pPr>
    </w:p>
    <w:p w14:paraId="2D16649D">
      <w:pPr>
        <w:pStyle w:val="9"/>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75F65447">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3090"/>
      <w:bookmarkStart w:id="48" w:name="_Toc23076"/>
      <w:bookmarkStart w:id="49" w:name="_Toc12264"/>
      <w:bookmarkStart w:id="50" w:name="_Toc14564"/>
      <w:bookmarkStart w:id="51" w:name="_Toc25983"/>
      <w:bookmarkStart w:id="52" w:name="_Toc12007"/>
      <w:bookmarkStart w:id="53" w:name="_Toc15773"/>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7"/>
      <w:bookmarkEnd w:id="48"/>
      <w:bookmarkEnd w:id="49"/>
      <w:bookmarkEnd w:id="50"/>
      <w:bookmarkEnd w:id="51"/>
      <w:bookmarkEnd w:id="52"/>
      <w:bookmarkEnd w:id="53"/>
    </w:p>
    <w:p w14:paraId="6762CE88">
      <w:pPr>
        <w:pStyle w:val="2"/>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2023"/>
      <w:bookmarkStart w:id="55" w:name="_Toc15131"/>
      <w:bookmarkStart w:id="56" w:name="_Toc26760"/>
      <w:bookmarkStart w:id="57" w:name="_Toc21260"/>
      <w:bookmarkStart w:id="58" w:name="_Toc952"/>
      <w:bookmarkStart w:id="59" w:name="_Toc11275"/>
      <w:bookmarkStart w:id="60" w:name="_Toc1065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6"/>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6"/>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6"/>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6"/>
        <w:ind w:firstLine="0"/>
        <w:rPr>
          <w:rFonts w:ascii="仿宋" w:hAnsi="仿宋" w:eastAsia="仿宋" w:cs="仿宋"/>
          <w:color w:val="000000" w:themeColor="text1"/>
          <w:highlight w:val="none"/>
          <w14:textFill>
            <w14:solidFill>
              <w14:schemeClr w14:val="tx1"/>
            </w14:solidFill>
          </w14:textFill>
        </w:rPr>
      </w:pPr>
    </w:p>
    <w:p w14:paraId="09D4A1E7">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6"/>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bCs/>
          <w:sz w:val="24"/>
          <w:szCs w:val="24"/>
          <w:highlight w:val="none"/>
          <w:u w:val="single"/>
          <w:lang w:val="en-US" w:eastAsia="zh-CN"/>
        </w:rPr>
        <w:t>陕西中医药大学第二附属医院2024-2025年新生儿科专用物资采购项目（标段三）</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SZRFYZB202407-1</w:t>
      </w:r>
      <w:r>
        <w:rPr>
          <w:rFonts w:hint="eastAsia" w:ascii="宋体" w:hAnsi="宋体" w:cs="宋体"/>
          <w:color w:val="000000" w:themeColor="text1"/>
          <w:sz w:val="24"/>
          <w:szCs w:val="24"/>
          <w:highlight w:val="none"/>
          <w:u w:val="singl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9"/>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9"/>
        <w:rPr>
          <w:rFonts w:hint="eastAsia"/>
        </w:rPr>
      </w:pPr>
    </w:p>
    <w:p w14:paraId="7CB1DAA6">
      <w:pPr>
        <w:pStyle w:val="6"/>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06659E99">
      <w:pPr>
        <w:pStyle w:val="2"/>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33B0BF2">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459A6721">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15"/>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15"/>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1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1CE9B">
    <w:pPr>
      <w:pStyle w:val="15"/>
      <w:keepNext w:val="0"/>
      <w:keepLines w:val="0"/>
      <w:pageBreakBefore w:val="0"/>
      <w:widowControl w:val="0"/>
      <w:pBdr>
        <w:top w:val="single" w:color="000000" w:sz="4" w:space="1"/>
      </w:pBdr>
      <w:kinsoku/>
      <w:wordWrap/>
      <w:overflowPunct/>
      <w:topLinePunct w:val="0"/>
      <w:autoSpaceDE/>
      <w:autoSpaceDN/>
      <w:bidi w:val="0"/>
      <w:adjustRightInd/>
      <w:snapToGrid/>
      <w:ind w:right="0"/>
      <w:textAlignment w:val="auto"/>
      <w:rPr>
        <w:rFonts w:eastAsia="仿宋_GB2312"/>
        <w:b/>
        <w:szCs w:val="18"/>
        <w:u w:val="single"/>
      </w:rPr>
    </w:pPr>
    <w:r>
      <w:rPr>
        <w:rFonts w:eastAsia="仿宋_GB2312"/>
        <w:b/>
        <w:szCs w:val="18"/>
      </w:rPr>
      <w:t>陕西中技招标有限公司（</w:t>
    </w:r>
    <w:r>
      <w:rPr>
        <w:rFonts w:ascii="宋体" w:hAnsi="宋体" w:eastAsia="仿宋_GB2312" w:cs="宋体"/>
        <w:b/>
        <w:szCs w:val="18"/>
        <w:lang w:bidi="ar-SA"/>
      </w:rPr>
      <w:fldChar w:fldCharType="begin"/>
    </w:r>
    <w:r>
      <w:rPr>
        <w:rFonts w:ascii="宋体" w:hAnsi="宋体" w:eastAsia="仿宋_GB2312" w:cs="宋体"/>
        <w:b/>
        <w:szCs w:val="18"/>
        <w:lang w:bidi="ar-SA"/>
      </w:rPr>
      <w:instrText xml:space="preserve">HYPERLINK "http://www.sxzjtc.com/"</w:instrText>
    </w:r>
    <w:r>
      <w:rPr>
        <w:rFonts w:ascii="宋体" w:hAnsi="宋体" w:eastAsia="仿宋_GB2312" w:cs="宋体"/>
        <w:b/>
        <w:szCs w:val="18"/>
        <w:lang w:bidi="ar-SA"/>
      </w:rPr>
      <w:fldChar w:fldCharType="separate"/>
    </w:r>
    <w:r>
      <w:rPr>
        <w:rFonts w:ascii="宋体" w:hAnsi="宋体" w:eastAsia="仿宋_GB2312" w:cs="宋体"/>
        <w:b/>
        <w:szCs w:val="18"/>
        <w:lang w:bidi="ar-SA"/>
      </w:rPr>
      <w:t>http://www.sxzjtc.com/</w:t>
    </w:r>
    <w:r>
      <w:rPr>
        <w:rFonts w:eastAsia="仿宋_GB2312"/>
        <w:b/>
        <w:szCs w:val="18"/>
      </w:rPr>
      <w:t xml:space="preserve">） </w:t>
    </w:r>
    <w:r>
      <w:rPr>
        <w:rFonts w:hint="eastAsia" w:eastAsia="仿宋_GB2312"/>
        <w:b/>
        <w:szCs w:val="18"/>
      </w:rPr>
      <w:t xml:space="preserve">    </w:t>
    </w:r>
    <w:r>
      <w:rPr>
        <w:rFonts w:hint="eastAsia" w:eastAsia="仿宋_GB2312"/>
        <w:b/>
        <w:szCs w:val="18"/>
        <w:lang w:val="en-US" w:eastAsia="zh-CN"/>
      </w:rPr>
      <w:t xml:space="preserve">   </w:t>
    </w:r>
    <w:r>
      <w:rPr>
        <w:rFonts w:eastAsia="仿宋_GB2312"/>
        <w:b/>
        <w:szCs w:val="18"/>
      </w:rPr>
      <w:t>地址：西安市高新四路1号高科广场A1001室</w:t>
    </w:r>
    <w:r>
      <w:rPr>
        <w:rFonts w:eastAsia="仿宋_GB2312"/>
        <w:b/>
        <w:szCs w:val="18"/>
        <w:u w:val="single"/>
      </w:rPr>
      <w:fldChar w:fldCharType="end"/>
    </w:r>
  </w:p>
  <w:p w14:paraId="1C840A42">
    <w:pPr>
      <w:pStyle w:val="15"/>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1AE392">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E1AE392">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1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15"/>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15"/>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6"/>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6"/>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6"/>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5B74C">
    <w:pPr>
      <w:keepNext w:val="0"/>
      <w:keepLines w:val="0"/>
      <w:pageBreakBefore w:val="0"/>
      <w:shd w:val="clear" w:color="auto" w:fill="FFFFFF"/>
      <w:kinsoku/>
      <w:wordWrap/>
      <w:overflowPunct/>
      <w:topLinePunct w:val="0"/>
      <w:bidi w:val="0"/>
      <w:spacing w:line="360" w:lineRule="auto"/>
      <w:ind w:right="0"/>
      <w:jc w:val="center"/>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eastAsia="宋体" w:cs="宋体"/>
        <w:sz w:val="21"/>
        <w:szCs w:val="21"/>
        <w:highlight w:val="none"/>
        <w:u w:val="single"/>
        <w:lang w:val="en-US" w:eastAsia="zh-CN"/>
      </w:rPr>
      <w:t>2024-2025年新生儿科专用物资采购项目（标段三）</w:t>
    </w:r>
  </w:p>
  <w:p w14:paraId="33E33D26">
    <w:pPr>
      <w:pStyle w:val="16"/>
      <w:pBdr>
        <w:bottom w:val="none" w:color="auto" w:sz="0" w:space="0"/>
      </w:pBdr>
      <w:jc w:val="center"/>
      <w:rPr>
        <w:rFonts w:hint="default"/>
        <w:sz w:val="15"/>
        <w:szCs w:val="15"/>
        <w:u w:val="single"/>
        <w:lang w:val="en-US"/>
      </w:rPr>
    </w:pPr>
    <w:r>
      <w:rPr>
        <w:rFonts w:hint="eastAsia" w:ascii="宋体" w:hAnsi="宋体" w:cs="宋体"/>
        <w:sz w:val="21"/>
        <w:szCs w:val="21"/>
        <w:highlight w:val="none"/>
        <w:u w:val="single"/>
        <w:lang w:val="en-US" w:eastAsia="zh-CN"/>
      </w:rPr>
      <w:t>竞争性磋商文件</w:t>
    </w:r>
  </w:p>
  <w:p w14:paraId="31CBF51E">
    <w:pPr>
      <w:pStyle w:val="16"/>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6"/>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8A6ED"/>
    <w:multiLevelType w:val="singleLevel"/>
    <w:tmpl w:val="8D18A6ED"/>
    <w:lvl w:ilvl="0" w:tentative="0">
      <w:start w:val="1"/>
      <w:numFmt w:val="decimal"/>
      <w:suff w:val="nothing"/>
      <w:lvlText w:val="%1、"/>
      <w:lvlJc w:val="left"/>
    </w:lvl>
  </w:abstractNum>
  <w:abstractNum w:abstractNumId="1">
    <w:nsid w:val="E86C61F8"/>
    <w:multiLevelType w:val="singleLevel"/>
    <w:tmpl w:val="E86C61F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8130CC4"/>
    <w:rsid w:val="085F1064"/>
    <w:rsid w:val="08F65BCD"/>
    <w:rsid w:val="08F8348E"/>
    <w:rsid w:val="09063C58"/>
    <w:rsid w:val="096E3BF7"/>
    <w:rsid w:val="09907300"/>
    <w:rsid w:val="09A73FC7"/>
    <w:rsid w:val="0AA720FE"/>
    <w:rsid w:val="0AAF3B94"/>
    <w:rsid w:val="0AD43A04"/>
    <w:rsid w:val="0B0A6BB0"/>
    <w:rsid w:val="0B280A1E"/>
    <w:rsid w:val="0BBF6171"/>
    <w:rsid w:val="0C0345EF"/>
    <w:rsid w:val="0C0D01E5"/>
    <w:rsid w:val="0C5C0688"/>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9065A0"/>
    <w:rsid w:val="2AC56216"/>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2B37FA"/>
    <w:rsid w:val="405B6086"/>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1C60977"/>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E556280"/>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30"/>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Copperplate Gothic Bold" w:hAnsi="Copperplate Gothic Bold"/>
      <w:sz w:val="32"/>
    </w:rPr>
  </w:style>
  <w:style w:type="paragraph" w:styleId="14">
    <w:name w:val="Balloon Text"/>
    <w:basedOn w:val="1"/>
    <w:qFormat/>
    <w:uiPriority w:val="0"/>
    <w:rPr>
      <w:sz w:val="18"/>
      <w:szCs w:val="18"/>
    </w:rPr>
  </w:style>
  <w:style w:type="paragraph" w:styleId="15">
    <w:name w:val="footer"/>
    <w:basedOn w:val="1"/>
    <w:link w:val="28"/>
    <w:qFormat/>
    <w:uiPriority w:val="0"/>
    <w:pPr>
      <w:tabs>
        <w:tab w:val="center" w:pos="4153"/>
        <w:tab w:val="right" w:pos="8306"/>
      </w:tabs>
      <w:snapToGrid w:val="0"/>
      <w:jc w:val="left"/>
    </w:pPr>
    <w:rPr>
      <w:sz w:val="18"/>
      <w:szCs w:val="18"/>
    </w:rPr>
  </w:style>
  <w:style w:type="paragraph" w:styleId="16">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jc w:val="center"/>
    </w:pPr>
    <w:rPr>
      <w:b/>
      <w:spacing w:val="-20"/>
      <w:w w:val="130"/>
      <w:sz w:val="48"/>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10"/>
    <w:next w:val="10"/>
    <w:link w:val="31"/>
    <w:qFormat/>
    <w:uiPriority w:val="0"/>
    <w:rPr>
      <w:b/>
      <w:bCs/>
    </w:rPr>
  </w:style>
  <w:style w:type="paragraph" w:styleId="20">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6"/>
    <w:qFormat/>
    <w:uiPriority w:val="0"/>
    <w:rPr>
      <w:kern w:val="2"/>
      <w:sz w:val="18"/>
      <w:szCs w:val="18"/>
    </w:rPr>
  </w:style>
  <w:style w:type="character" w:customStyle="1" w:styleId="28">
    <w:name w:val="页脚 Char"/>
    <w:link w:val="15"/>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10"/>
    <w:qFormat/>
    <w:uiPriority w:val="0"/>
    <w:rPr>
      <w:kern w:val="2"/>
      <w:sz w:val="21"/>
      <w:szCs w:val="24"/>
    </w:rPr>
  </w:style>
  <w:style w:type="character" w:customStyle="1" w:styleId="31">
    <w:name w:val="批注主题 Char"/>
    <w:link w:val="19"/>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4"/>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8"/>
    <w:qFormat/>
    <w:uiPriority w:val="99"/>
    <w:pPr>
      <w:jc w:val="left"/>
    </w:pPr>
  </w:style>
  <w:style w:type="paragraph" w:customStyle="1" w:styleId="44">
    <w:name w:val="列出段落3"/>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33</Pages>
  <Words>11920</Words>
  <Characters>12462</Characters>
  <Paragraphs>503</Paragraphs>
  <TotalTime>21</TotalTime>
  <ScaleCrop>false</ScaleCrop>
  <LinksUpToDate>false</LinksUpToDate>
  <CharactersWithSpaces>13347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2024-12-24T07:43:25Z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C0767FC099A247EC8E0465B2CD86D918_13</vt:lpwstr>
  </property>
</Properties>
</file>