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SZRFYZB202412-218</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E6C0B69">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04753B2">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2ADD87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DD2146E">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新增维修改造工程设计单位项目</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818AC3">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3D2039F8">
      <w:pPr>
        <w:pStyle w:val="20"/>
        <w:rPr>
          <w:rFonts w:hint="eastAsia"/>
        </w:rPr>
      </w:pPr>
    </w:p>
    <w:p w14:paraId="1205C4F0">
      <w:pPr>
        <w:pStyle w:val="20"/>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1574CEE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eastAsia="宋体" w:cs="宋体"/>
          <w:b/>
          <w:color w:val="auto"/>
          <w:sz w:val="28"/>
          <w:szCs w:val="28"/>
          <w:highlight w:val="none"/>
          <w:lang w:val="en-US" w:eastAsia="zh-CN"/>
        </w:rPr>
        <w:t>四年</w:t>
      </w:r>
      <w:r>
        <w:rPr>
          <w:rStyle w:val="32"/>
          <w:rFonts w:hint="eastAsia" w:ascii="宋体" w:hAnsi="宋体" w:cs="宋体"/>
          <w:b/>
          <w:color w:val="auto"/>
          <w:sz w:val="28"/>
          <w:szCs w:val="28"/>
          <w:highlight w:val="none"/>
          <w:lang w:val="en-US" w:eastAsia="zh-CN"/>
        </w:rPr>
        <w:t>十二</w:t>
      </w:r>
      <w:r>
        <w:rPr>
          <w:rStyle w:val="32"/>
          <w:rFonts w:hint="eastAsia" w:ascii="宋体" w:hAnsi="宋体" w:eastAsia="宋体" w:cs="宋体"/>
          <w:b/>
          <w:color w:val="auto"/>
          <w:sz w:val="28"/>
          <w:szCs w:val="28"/>
          <w:highlight w:val="none"/>
          <w:lang w:val="en-US" w:eastAsia="zh-CN"/>
        </w:rPr>
        <w:t>月</w:t>
      </w:r>
    </w:p>
    <w:p w14:paraId="29E909C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6BD23DDE">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280061D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D47E68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新增维修改造工程设计单位项目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新增维修改造工程设计单位项目</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1D0A724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45</w:t>
      </w:r>
      <w:r>
        <w:rPr>
          <w:rStyle w:val="32"/>
          <w:rFonts w:hint="eastAsia" w:ascii="宋体" w:hAnsi="宋体" w:eastAsia="宋体" w:cs="宋体"/>
          <w:sz w:val="24"/>
          <w:szCs w:val="24"/>
          <w:highlight w:val="none"/>
          <w:lang w:val="en-US" w:eastAsia="zh-CN"/>
        </w:rPr>
        <w:t>万元</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cs="宋体"/>
          <w:sz w:val="24"/>
          <w:szCs w:val="24"/>
          <w:highlight w:val="none"/>
          <w:lang w:val="en-US" w:eastAsia="zh-CN"/>
        </w:rPr>
        <w:t>5、服务期：一年</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4738E17A">
      <w:pPr>
        <w:spacing w:line="360" w:lineRule="auto"/>
        <w:ind w:firstLine="480" w:firstLineChars="200"/>
        <w:rPr>
          <w:rFonts w:hint="default"/>
          <w:lang w:val="en-US" w:eastAsia="zh-CN"/>
        </w:rPr>
      </w:pPr>
      <w:r>
        <w:rPr>
          <w:rFonts w:hint="eastAsia" w:ascii="宋体" w:hAnsi="宋体" w:eastAsia="宋体" w:cs="宋体"/>
          <w:b w:val="0"/>
          <w:bCs/>
          <w:kern w:val="2"/>
          <w:sz w:val="24"/>
          <w:szCs w:val="24"/>
          <w:highlight w:val="none"/>
          <w:u w:val="none"/>
          <w:lang w:val="en-US" w:eastAsia="zh-CN" w:bidi="ar-SA"/>
        </w:rPr>
        <w:t>3、须具备建筑行业（建筑工程）专业设计乙级及以上资质或工程设计综合资质（含钢结构）；</w:t>
      </w:r>
    </w:p>
    <w:p w14:paraId="72B758F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7BCF7501">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cs="宋体"/>
          <w:b w:val="0"/>
          <w:bCs w:val="0"/>
          <w:color w:val="auto"/>
          <w:sz w:val="24"/>
          <w:szCs w:val="24"/>
          <w:highlight w:val="none"/>
          <w:lang w:val="en-US" w:eastAsia="zh-CN"/>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张</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8F11D0E">
      <w:pPr>
        <w:pStyle w:val="2"/>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575A08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lang w:eastAsia="zh-CN"/>
        </w:rPr>
        <w:t>（一）</w:t>
      </w:r>
      <w:r>
        <w:rPr>
          <w:rFonts w:hint="eastAsia" w:ascii="宋体" w:hAnsi="宋体" w:cs="宋体"/>
          <w:b w:val="0"/>
          <w:bCs/>
          <w:sz w:val="24"/>
          <w:highlight w:val="none"/>
        </w:rPr>
        <w:t>项目</w:t>
      </w:r>
      <w:r>
        <w:rPr>
          <w:rFonts w:hint="eastAsia" w:ascii="宋体" w:hAnsi="宋体" w:cs="宋体"/>
          <w:b w:val="0"/>
          <w:bCs/>
          <w:sz w:val="24"/>
          <w:highlight w:val="none"/>
          <w:lang w:eastAsia="zh-CN"/>
        </w:rPr>
        <w:t>基本情况</w:t>
      </w:r>
    </w:p>
    <w:p w14:paraId="1980B862">
      <w:pPr>
        <w:pStyle w:val="12"/>
        <w:spacing w:line="360" w:lineRule="auto"/>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陕西中医药大学第二附属医院原有一家院内工程设计单位，随着医院维修改造工程量增加，一家设计单位已不满足我院业务需求，为加快维修改造工程进度，拟再招标一家专业医院设计单位。</w:t>
      </w:r>
    </w:p>
    <w:p w14:paraId="3F50AC18">
      <w:pPr>
        <w:pStyle w:val="12"/>
        <w:ind w:firstLine="482" w:firstLineChars="200"/>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二</w:t>
      </w:r>
      <w:r>
        <w:rPr>
          <w:rFonts w:hint="eastAsia" w:ascii="宋体" w:hAnsi="宋体" w:eastAsia="宋体" w:cs="宋体"/>
          <w:b/>
          <w:bCs/>
          <w:color w:val="000000"/>
          <w:sz w:val="24"/>
          <w:szCs w:val="24"/>
        </w:rPr>
        <w:t>、商务要求</w:t>
      </w:r>
    </w:p>
    <w:p w14:paraId="04637834">
      <w:pPr>
        <w:pStyle w:val="1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1、服务期限：</w:t>
      </w: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或</w:t>
      </w:r>
      <w:r>
        <w:rPr>
          <w:rFonts w:hint="eastAsia" w:ascii="宋体" w:hAnsi="宋体" w:cs="宋体"/>
          <w:b w:val="0"/>
          <w:bCs w:val="0"/>
          <w:color w:val="000000"/>
          <w:sz w:val="24"/>
          <w:szCs w:val="24"/>
          <w:lang w:val="en-US" w:eastAsia="zh-CN"/>
        </w:rPr>
        <w:t>服务累计费</w:t>
      </w:r>
      <w:r>
        <w:rPr>
          <w:rFonts w:hint="eastAsia" w:ascii="宋体" w:hAnsi="宋体" w:cs="宋体"/>
          <w:color w:val="000000"/>
          <w:sz w:val="24"/>
          <w:szCs w:val="24"/>
          <w:lang w:val="en-US" w:eastAsia="zh-CN"/>
        </w:rPr>
        <w:t>用达到45万元</w:t>
      </w:r>
      <w:r>
        <w:rPr>
          <w:rFonts w:hint="eastAsia" w:ascii="宋体" w:hAnsi="宋体" w:eastAsia="宋体" w:cs="宋体"/>
          <w:color w:val="000000"/>
          <w:sz w:val="24"/>
          <w:szCs w:val="24"/>
        </w:rPr>
        <w:t>；</w:t>
      </w:r>
    </w:p>
    <w:p w14:paraId="1DA760A5">
      <w:pPr>
        <w:pStyle w:val="1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2、服务地点：陕西</w:t>
      </w:r>
      <w:r>
        <w:rPr>
          <w:rFonts w:hint="eastAsia" w:ascii="宋体" w:hAnsi="宋体" w:eastAsia="宋体" w:cs="宋体"/>
          <w:color w:val="auto"/>
          <w:sz w:val="24"/>
          <w:szCs w:val="24"/>
        </w:rPr>
        <w:t>中医药大学第二附属医院；</w:t>
      </w:r>
    </w:p>
    <w:p w14:paraId="10D08C7D">
      <w:pPr>
        <w:pStyle w:val="12"/>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000000"/>
          <w:sz w:val="24"/>
          <w:szCs w:val="24"/>
        </w:rPr>
        <w:t>报价要求：</w:t>
      </w:r>
      <w:r>
        <w:rPr>
          <w:rFonts w:hint="eastAsia" w:ascii="宋体" w:hAnsi="宋体" w:eastAsia="宋体" w:cs="宋体"/>
          <w:color w:val="auto"/>
          <w:sz w:val="24"/>
          <w:szCs w:val="24"/>
          <w:lang w:val="en-US" w:eastAsia="zh-CN"/>
        </w:rPr>
        <w:t>设计取费采用阶梯报价模式（按费率报价），分为5万元≤项目最高限价＜20万元、20万元≤项目最高限价＜50万元、50万元≤项目最高限价＜80万元三个阶段。（报价应考虑各阶段设计费用、出具效果图、工程概算和后期后续服务，以及所有为完成本项目范围内工程设计有关的成本、利润、保险、税费、风险、专题研究、试验费用、现场办公及车旅费用、工程实施过程中变更设计费用、按照委托方要求提供的图纸费用以及如需要进行的专家论证等全部费用。）</w:t>
      </w:r>
    </w:p>
    <w:p w14:paraId="1C2E5893">
      <w:pPr>
        <w:pStyle w:val="12"/>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4、质量要求：满足国家现行《建筑工程设计文件编制深度规定》要求、医院及科室需求，且配合施工方进行技术交底和指导及配合甲方完成验收。</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5DADDCB7">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A03C8B6">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2、法</w:t>
      </w:r>
      <w:r>
        <w:rPr>
          <w:rFonts w:hint="eastAsia" w:ascii="宋体" w:hAnsi="宋体" w:eastAsia="宋体" w:cs="宋体"/>
          <w:b w:val="0"/>
          <w:bCs/>
          <w:sz w:val="24"/>
          <w:szCs w:val="24"/>
          <w:highlight w:val="none"/>
          <w:u w:val="none"/>
          <w:lang w:eastAsia="zh-CN"/>
        </w:rPr>
        <w:t>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none"/>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18D92248">
      <w:pPr>
        <w:spacing w:line="360" w:lineRule="auto"/>
        <w:ind w:firstLine="480" w:firstLineChars="20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3、须具备建筑行业（建筑工程）专业设计乙级及以上资质或工程设计综合资质（含钢结构）；需提供企业资质网上查询（陕西省建筑市场监管与诚信信息一体化平台截图，并加盖投标单位公章）</w:t>
      </w:r>
    </w:p>
    <w:p w14:paraId="011028DD">
      <w:pPr>
        <w:spacing w:line="360" w:lineRule="auto"/>
        <w:ind w:firstLine="480" w:firstLineChars="200"/>
        <w:rPr>
          <w:rFonts w:hint="default"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拟派本项目的项目负责人需具备相关行业工程师资格：①提供及一年内任意连续三个月及以上在本单位的社保缴费记录；②提供拟派本项目的项目负责人注册建造师网上查询（陕西省建筑市场监管与诚信信息一体化平台截图，并加盖投标单位公章）</w:t>
      </w:r>
    </w:p>
    <w:p w14:paraId="2A86F3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6、</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0B5BA7C4">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8、</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25097154">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595C065C">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442CAFC9">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1"/>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78"/>
        <w:gridCol w:w="5657"/>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530" w:type="dxa"/>
            <w:gridSpan w:val="2"/>
            <w:tcBorders>
              <w:top w:val="single" w:color="auto" w:sz="4" w:space="0"/>
              <w:left w:val="single" w:color="auto" w:sz="4" w:space="0"/>
              <w:bottom w:val="single" w:color="auto" w:sz="4" w:space="0"/>
              <w:right w:val="single" w:color="auto" w:sz="4" w:space="0"/>
            </w:tcBorders>
            <w:noWrap w:val="0"/>
            <w:vAlign w:val="center"/>
          </w:tcPr>
          <w:p w14:paraId="694FE5E4">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仿宋" w:hAnsi="仿宋" w:eastAsia="仿宋" w:cs="仿宋"/>
                <w:sz w:val="24"/>
                <w:szCs w:val="24"/>
                <w:highlight w:val="none"/>
              </w:rPr>
              <w:t>评审内容</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3F404BEB">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仿宋" w:hAnsi="仿宋" w:eastAsia="仿宋" w:cs="仿宋"/>
                <w:sz w:val="24"/>
                <w:szCs w:val="24"/>
                <w:highlight w:val="none"/>
                <w:lang w:eastAsia="zh-CN"/>
              </w:rPr>
              <w:t>评分标准</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52" w:type="dxa"/>
            <w:vMerge w:val="restart"/>
            <w:tcBorders>
              <w:top w:val="single" w:color="auto" w:sz="4" w:space="0"/>
              <w:left w:val="single" w:color="auto" w:sz="4" w:space="0"/>
              <w:bottom w:val="single" w:color="auto" w:sz="4" w:space="0"/>
              <w:right w:val="single" w:color="auto" w:sz="4" w:space="0"/>
            </w:tcBorders>
            <w:noWrap w:val="0"/>
            <w:vAlign w:val="center"/>
          </w:tcPr>
          <w:p w14:paraId="6CFB50EC">
            <w:pPr>
              <w:autoSpaceDE w:val="0"/>
              <w:autoSpaceDN w:val="0"/>
              <w:adjustRightIn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报价</w:t>
            </w:r>
          </w:p>
          <w:p w14:paraId="1C07D5B3">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仿宋" w:hAnsi="仿宋" w:eastAsia="仿宋" w:cs="仿宋"/>
                <w:sz w:val="24"/>
                <w:szCs w:val="24"/>
                <w:highlight w:val="none"/>
                <w:lang w:eastAsia="zh-CN"/>
              </w:rPr>
              <w:t>（满分</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tc>
        <w:tc>
          <w:tcPr>
            <w:tcW w:w="2578" w:type="dxa"/>
            <w:tcBorders>
              <w:top w:val="single" w:color="auto" w:sz="4" w:space="0"/>
              <w:left w:val="single" w:color="auto" w:sz="4" w:space="0"/>
              <w:bottom w:val="single" w:color="auto" w:sz="4" w:space="0"/>
              <w:right w:val="single" w:color="auto" w:sz="4" w:space="0"/>
            </w:tcBorders>
            <w:noWrap w:val="0"/>
            <w:vAlign w:val="center"/>
          </w:tcPr>
          <w:p w14:paraId="708082FF">
            <w:pPr>
              <w:keepNext w:val="0"/>
              <w:keepLines w:val="0"/>
              <w:pageBreakBefore w:val="0"/>
              <w:widowControl w:val="0"/>
              <w:kinsoku/>
              <w:overflowPunct/>
              <w:topLinePunct w:val="0"/>
              <w:bidi w:val="0"/>
              <w:spacing w:line="240" w:lineRule="auto"/>
              <w:ind w:right="0" w:rightChars="0"/>
              <w:jc w:val="center"/>
              <w:textAlignment w:val="auto"/>
              <w:rPr>
                <w:rFonts w:hint="default" w:ascii="宋体" w:hAnsi="宋体" w:eastAsia="宋体" w:cs="宋体"/>
                <w:color w:val="000000"/>
                <w:sz w:val="24"/>
                <w:szCs w:val="24"/>
                <w:highlight w:val="none"/>
                <w:lang w:val="en-US" w:eastAsia="zh-CN"/>
              </w:rPr>
            </w:pPr>
            <w:r>
              <w:rPr>
                <w:rStyle w:val="32"/>
                <w:rFonts w:hint="eastAsia" w:ascii="仿宋" w:hAnsi="仿宋" w:eastAsia="仿宋" w:cs="仿宋"/>
                <w:sz w:val="24"/>
                <w:szCs w:val="24"/>
                <w:highlight w:val="none"/>
                <w:vertAlign w:val="baseline"/>
                <w:lang w:val="en-US" w:eastAsia="zh-CN"/>
              </w:rPr>
              <w:t>5万元≤项目最高限价＜20万元的项目报价（10分）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266E841F">
            <w:pPr>
              <w:spacing w:line="240" w:lineRule="auto"/>
              <w:jc w:val="both"/>
              <w:rPr>
                <w:rFonts w:hint="eastAsia" w:ascii="宋体" w:hAnsi="宋体" w:eastAsia="宋体" w:cs="宋体"/>
                <w:color w:val="000000"/>
                <w:sz w:val="24"/>
                <w:szCs w:val="24"/>
                <w:highlight w:val="none"/>
                <w:lang w:val="en-US" w:eastAsia="zh-CN"/>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65D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2" w:type="dxa"/>
            <w:vMerge w:val="continue"/>
            <w:tcBorders>
              <w:top w:val="single" w:color="auto" w:sz="4" w:space="0"/>
              <w:left w:val="single" w:color="auto" w:sz="4" w:space="0"/>
              <w:right w:val="single" w:color="auto" w:sz="4" w:space="0"/>
            </w:tcBorders>
            <w:noWrap w:val="0"/>
            <w:vAlign w:val="center"/>
          </w:tcPr>
          <w:p w14:paraId="339C2B1A">
            <w:pPr>
              <w:autoSpaceDE w:val="0"/>
              <w:autoSpaceDN w:val="0"/>
              <w:adjustRightInd w:val="0"/>
              <w:spacing w:line="240" w:lineRule="auto"/>
              <w:jc w:val="center"/>
              <w:rPr>
                <w:rFonts w:hint="eastAsia" w:ascii="宋体" w:hAnsi="宋体" w:eastAsia="宋体" w:cs="宋体"/>
                <w:color w:val="000000"/>
                <w:kern w:val="2"/>
                <w:sz w:val="24"/>
                <w:szCs w:val="24"/>
                <w:highlight w:val="none"/>
                <w:lang w:val="zh-CN" w:eastAsia="zh-CN" w:bidi="ar-SA"/>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14:paraId="5D66CAB5">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color w:val="000000"/>
                <w:kern w:val="2"/>
                <w:sz w:val="24"/>
                <w:szCs w:val="24"/>
                <w:highlight w:val="none"/>
                <w:lang w:val="zh-CN" w:eastAsia="zh-CN" w:bidi="ar-SA"/>
              </w:rPr>
            </w:pPr>
            <w:r>
              <w:rPr>
                <w:rStyle w:val="32"/>
                <w:rFonts w:hint="eastAsia" w:ascii="仿宋" w:hAnsi="仿宋" w:eastAsia="仿宋" w:cs="仿宋"/>
                <w:sz w:val="24"/>
                <w:szCs w:val="24"/>
                <w:highlight w:val="none"/>
                <w:vertAlign w:val="baseline"/>
                <w:lang w:val="en-US" w:eastAsia="zh-CN"/>
              </w:rPr>
              <w:t>20万元≤项目最高限价＜50万元的项目报价（10分）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16235779">
            <w:pPr>
              <w:spacing w:line="240" w:lineRule="auto"/>
              <w:jc w:val="both"/>
              <w:rPr>
                <w:rFonts w:hint="eastAsia" w:ascii="宋体" w:hAnsi="宋体" w:eastAsia="宋体" w:cs="宋体"/>
                <w:b w:val="0"/>
                <w:kern w:val="0"/>
                <w:sz w:val="24"/>
                <w:szCs w:val="24"/>
                <w:highlight w:val="none"/>
                <w:lang w:val="en-US" w:eastAsia="zh-CN" w:bidi="ar-SA"/>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54B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2" w:type="dxa"/>
            <w:vMerge w:val="continue"/>
            <w:tcBorders>
              <w:left w:val="single" w:color="auto" w:sz="4" w:space="0"/>
              <w:right w:val="single" w:color="auto" w:sz="4" w:space="0"/>
            </w:tcBorders>
            <w:noWrap w:val="0"/>
            <w:vAlign w:val="center"/>
          </w:tcPr>
          <w:p w14:paraId="76BE80DC">
            <w:pPr>
              <w:autoSpaceDE w:val="0"/>
              <w:autoSpaceDN w:val="0"/>
              <w:adjustRightInd w:val="0"/>
              <w:spacing w:line="240" w:lineRule="auto"/>
              <w:jc w:val="center"/>
              <w:rPr>
                <w:rFonts w:hint="eastAsia" w:ascii="宋体" w:hAnsi="宋体" w:eastAsia="宋体" w:cs="宋体"/>
                <w:color w:val="auto"/>
                <w:sz w:val="24"/>
                <w:szCs w:val="24"/>
                <w:highlight w:val="none"/>
                <w:lang w:val="zh-CN"/>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14:paraId="77E3E98F">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color w:val="auto"/>
                <w:kern w:val="2"/>
                <w:sz w:val="24"/>
                <w:szCs w:val="24"/>
                <w:highlight w:val="none"/>
                <w:vertAlign w:val="baseline"/>
                <w:lang w:val="en-US" w:eastAsia="zh-CN" w:bidi="ar-SA"/>
              </w:rPr>
              <w:t>50万元≤项目最高限价＜80万元</w:t>
            </w:r>
            <w:r>
              <w:rPr>
                <w:rStyle w:val="32"/>
                <w:rFonts w:hint="eastAsia" w:ascii="仿宋" w:hAnsi="仿宋" w:eastAsia="仿宋" w:cs="仿宋"/>
                <w:color w:val="auto"/>
                <w:sz w:val="24"/>
                <w:szCs w:val="24"/>
                <w:highlight w:val="none"/>
                <w:vertAlign w:val="baseline"/>
                <w:lang w:val="en-US" w:eastAsia="zh-CN"/>
              </w:rPr>
              <w:t>的项目报价（10分）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6DB23FC1">
            <w:pPr>
              <w:spacing w:line="240" w:lineRule="auto"/>
              <w:jc w:val="both"/>
              <w:rPr>
                <w:rFonts w:hint="eastAsia" w:ascii="宋体" w:hAnsi="宋体" w:eastAsia="宋体" w:cs="宋体"/>
                <w:b/>
                <w:color w:val="000000"/>
                <w:kern w:val="0"/>
                <w:sz w:val="24"/>
                <w:szCs w:val="24"/>
                <w:highlight w:val="none"/>
                <w:lang w:val="zh-CN" w:eastAsia="zh-CN" w:bidi="ar-SA"/>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530" w:type="dxa"/>
            <w:gridSpan w:val="2"/>
            <w:tcBorders>
              <w:left w:val="single" w:color="auto" w:sz="4" w:space="0"/>
              <w:right w:val="single" w:color="auto" w:sz="4" w:space="0"/>
            </w:tcBorders>
            <w:noWrap w:val="0"/>
            <w:vAlign w:val="center"/>
          </w:tcPr>
          <w:p w14:paraId="0D47745D">
            <w:pPr>
              <w:autoSpaceDE w:val="0"/>
              <w:autoSpaceDN w:val="0"/>
              <w:adjustRightIn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项目负责人</w:t>
            </w:r>
          </w:p>
          <w:p w14:paraId="7FA67966">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eastAsia="zh-CN"/>
              </w:rPr>
              <w:t>（满分</w:t>
            </w:r>
            <w:r>
              <w:rPr>
                <w:rFonts w:hint="eastAsia" w:ascii="仿宋" w:hAnsi="仿宋" w:eastAsia="仿宋" w:cs="仿宋"/>
                <w:sz w:val="24"/>
                <w:szCs w:val="24"/>
                <w:highlight w:val="none"/>
                <w:lang w:val="en-US" w:eastAsia="zh-CN"/>
              </w:rPr>
              <w:t>16分</w:t>
            </w:r>
            <w:r>
              <w:rPr>
                <w:rFonts w:hint="eastAsia" w:ascii="仿宋" w:hAnsi="仿宋" w:eastAsia="仿宋" w:cs="仿宋"/>
                <w:sz w:val="24"/>
                <w:szCs w:val="24"/>
                <w:highlight w:val="none"/>
                <w:lang w:eastAsia="zh-CN"/>
              </w:rPr>
              <w:t>）</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22D2B6E8">
            <w:pPr>
              <w:keepNext w:val="0"/>
              <w:keepLines w:val="0"/>
              <w:pageBreakBefore w:val="0"/>
              <w:widowControl w:val="0"/>
              <w:kinsoku/>
              <w:overflowPunct/>
              <w:topLinePunct w:val="0"/>
              <w:bidi w:val="0"/>
              <w:spacing w:line="240" w:lineRule="auto"/>
              <w:ind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1、拟派项目负责人为高级及以上职称的得5分，中级职称得3分，其余不得分；</w:t>
            </w:r>
          </w:p>
          <w:p w14:paraId="74FF383B">
            <w:pPr>
              <w:pStyle w:val="2"/>
              <w:spacing w:line="240" w:lineRule="auto"/>
              <w:jc w:val="both"/>
              <w:rPr>
                <w:rFonts w:hint="eastAsia" w:ascii="仿宋" w:hAnsi="仿宋" w:eastAsia="仿宋" w:cs="仿宋"/>
                <w:kern w:val="2"/>
                <w:sz w:val="24"/>
                <w:szCs w:val="24"/>
                <w:highlight w:val="cyan"/>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2、具备国家注册一级建筑师职业资格的得5分，具备国家注册二级建筑师职业资格的得3分，其余不得分</w:t>
            </w:r>
            <w:r>
              <w:rPr>
                <w:rFonts w:hint="eastAsia" w:ascii="仿宋" w:hAnsi="仿宋" w:eastAsia="仿宋" w:cs="仿宋"/>
                <w:kern w:val="2"/>
                <w:sz w:val="24"/>
                <w:szCs w:val="24"/>
                <w:highlight w:val="none"/>
                <w:lang w:val="en-US" w:eastAsia="zh-CN" w:bidi="ar-SA"/>
              </w:rPr>
              <w:t>。提供注册建造师网上查询（陕西省建筑市场监管与诚信信息一体化平台截图，并加盖投标单位公章）；</w:t>
            </w:r>
          </w:p>
          <w:p w14:paraId="60CBFCE1">
            <w:pPr>
              <w:pStyle w:val="2"/>
              <w:spacing w:line="240" w:lineRule="auto"/>
              <w:jc w:val="both"/>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vertAlign w:val="baseline"/>
                <w:lang w:val="en-US" w:eastAsia="zh-CN" w:bidi="ar-SA"/>
              </w:rPr>
              <w:t>3、拟派项目负责人自2023年1月1日至今，以项目负责人身份主持的</w:t>
            </w:r>
            <w:r>
              <w:rPr>
                <w:rFonts w:hint="eastAsia" w:ascii="仿宋" w:hAnsi="仿宋" w:eastAsia="仿宋" w:cs="仿宋"/>
                <w:kern w:val="2"/>
                <w:sz w:val="24"/>
                <w:szCs w:val="24"/>
                <w:highlight w:val="none"/>
                <w:lang w:val="en-US" w:eastAsia="zh-CN" w:bidi="ar-SA"/>
              </w:rPr>
              <w:t>公共事业类室内装饰装修改造工程设计业绩或包含室内装饰装修改造工程设计内容的业绩合同，每提供一份得2分，满分6分。</w:t>
            </w:r>
          </w:p>
        </w:tc>
      </w:tr>
      <w:tr w14:paraId="5F76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530" w:type="dxa"/>
            <w:gridSpan w:val="2"/>
            <w:tcBorders>
              <w:left w:val="single" w:color="auto" w:sz="4" w:space="0"/>
              <w:bottom w:val="single" w:color="auto" w:sz="4" w:space="0"/>
              <w:right w:val="single" w:color="auto" w:sz="4" w:space="0"/>
            </w:tcBorders>
            <w:noWrap w:val="0"/>
            <w:vAlign w:val="center"/>
          </w:tcPr>
          <w:p w14:paraId="0922CA2C">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拟投入的项目组成员</w:t>
            </w:r>
          </w:p>
          <w:p w14:paraId="6BE97DF2">
            <w:pPr>
              <w:autoSpaceDE w:val="0"/>
              <w:autoSpaceDN w:val="0"/>
              <w:adjustRightInd w:val="0"/>
              <w:spacing w:line="240" w:lineRule="auto"/>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（满分20分）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27D25B7C">
            <w:pPr>
              <w:keepNext w:val="0"/>
              <w:keepLines w:val="0"/>
              <w:pageBreakBefore w:val="0"/>
              <w:widowControl w:val="0"/>
              <w:numPr>
                <w:ilvl w:val="0"/>
                <w:numId w:val="2"/>
              </w:numPr>
              <w:kinsoku/>
              <w:overflowPunct/>
              <w:topLinePunct w:val="0"/>
              <w:bidi w:val="0"/>
              <w:spacing w:line="240" w:lineRule="auto"/>
              <w:ind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专业划分：拟派人员配备中各专业（建筑、结构、给排水、电气、暖通、消防）配备齐全得14分，每缺一个专业扣2分；</w:t>
            </w:r>
          </w:p>
          <w:p w14:paraId="170A4E56">
            <w:pPr>
              <w:keepNext w:val="0"/>
              <w:keepLines w:val="0"/>
              <w:pageBreakBefore w:val="0"/>
              <w:widowControl w:val="0"/>
              <w:numPr>
                <w:ilvl w:val="0"/>
                <w:numId w:val="0"/>
              </w:numPr>
              <w:kinsoku/>
              <w:overflowPunct/>
              <w:topLinePunct w:val="0"/>
              <w:bidi w:val="0"/>
              <w:spacing w:line="240" w:lineRule="auto"/>
              <w:ind w:left="0" w:leftChars="0" w:right="0" w:rightChars="0" w:firstLine="0" w:firstLineChars="0"/>
              <w:jc w:val="both"/>
              <w:textAlignment w:val="auto"/>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lang w:val="en-US" w:eastAsia="zh-CN"/>
              </w:rPr>
              <w:t>2、人员能力：拟派人员配备中各专业（建筑、结构、给排水、电气、暖通、消防）具备高级职称或国家注册执业证书的加1分，最高6分，相同专业人员累计提供的不加分。</w:t>
            </w:r>
          </w:p>
        </w:tc>
      </w:tr>
      <w:tr w14:paraId="236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30" w:type="dxa"/>
            <w:gridSpan w:val="2"/>
            <w:tcBorders>
              <w:top w:val="single" w:color="auto" w:sz="4" w:space="0"/>
              <w:left w:val="single" w:color="auto" w:sz="4" w:space="0"/>
              <w:right w:val="single" w:color="auto" w:sz="4" w:space="0"/>
            </w:tcBorders>
            <w:noWrap w:val="0"/>
            <w:vAlign w:val="center"/>
          </w:tcPr>
          <w:p w14:paraId="39FFAFBD">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业绩</w:t>
            </w:r>
          </w:p>
          <w:p w14:paraId="0FACC1E0">
            <w:pPr>
              <w:autoSpaceDE w:val="0"/>
              <w:autoSpaceDN w:val="0"/>
              <w:adjustRightInd w:val="0"/>
              <w:spacing w:line="240" w:lineRule="auto"/>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满</w:t>
            </w:r>
            <w:r>
              <w:rPr>
                <w:rFonts w:hint="eastAsia" w:ascii="仿宋" w:hAnsi="仿宋" w:eastAsia="仿宋" w:cs="仿宋"/>
                <w:sz w:val="24"/>
                <w:szCs w:val="24"/>
                <w:lang w:val="en-US" w:eastAsia="zh-CN"/>
              </w:rPr>
              <w:t>分20分）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0A501A66">
            <w:pPr>
              <w:autoSpaceDE w:val="0"/>
              <w:autoSpaceDN w:val="0"/>
              <w:adjustRightInd w:val="0"/>
              <w:spacing w:line="240" w:lineRule="auto"/>
              <w:jc w:val="both"/>
              <w:rPr>
                <w:rFonts w:hint="eastAsia" w:ascii="宋体" w:hAnsi="宋体" w:eastAsia="宋体" w:cs="宋体"/>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提供自2023年1月1日至今同类项目业绩合同及验收单，每提供一项得2分，满分20分。</w:t>
            </w:r>
          </w:p>
        </w:tc>
      </w:tr>
      <w:tr w14:paraId="0731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530" w:type="dxa"/>
            <w:gridSpan w:val="2"/>
            <w:tcBorders>
              <w:left w:val="single" w:color="auto" w:sz="4" w:space="0"/>
              <w:right w:val="single" w:color="auto" w:sz="4" w:space="0"/>
            </w:tcBorders>
            <w:noWrap w:val="0"/>
            <w:vAlign w:val="center"/>
          </w:tcPr>
          <w:p w14:paraId="1BA9A829">
            <w:pPr>
              <w:autoSpaceDE w:val="0"/>
              <w:autoSpaceDN w:val="0"/>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设计周期及服务承诺</w:t>
            </w:r>
          </w:p>
          <w:p w14:paraId="595890F8">
            <w:pPr>
              <w:pStyle w:val="2"/>
              <w:spacing w:line="240" w:lineRule="auto"/>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（满</w:t>
            </w:r>
            <w:bookmarkStart w:id="67" w:name="_GoBack"/>
            <w:r>
              <w:rPr>
                <w:rFonts w:hint="eastAsia" w:ascii="仿宋" w:hAnsi="仿宋" w:eastAsia="仿宋" w:cs="仿宋"/>
                <w:kern w:val="2"/>
                <w:sz w:val="24"/>
                <w:szCs w:val="24"/>
                <w:highlight w:val="none"/>
                <w:lang w:val="en-US" w:eastAsia="zh-CN" w:bidi="ar-SA"/>
              </w:rPr>
              <w:t>分14</w:t>
            </w:r>
            <w:bookmarkEnd w:id="67"/>
            <w:r>
              <w:rPr>
                <w:rFonts w:hint="eastAsia" w:ascii="仿宋" w:hAnsi="仿宋" w:eastAsia="仿宋" w:cs="仿宋"/>
                <w:kern w:val="2"/>
                <w:sz w:val="24"/>
                <w:szCs w:val="24"/>
                <w:highlight w:val="none"/>
                <w:lang w:val="en-US" w:eastAsia="zh-CN" w:bidi="ar-SA"/>
              </w:rPr>
              <w:t>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1DB5D953">
            <w:pPr>
              <w:numPr>
                <w:ilvl w:val="0"/>
                <w:numId w:val="3"/>
              </w:numPr>
              <w:autoSpaceDE w:val="0"/>
              <w:autoSpaceDN w:val="0"/>
              <w:adjustRightInd w:val="0"/>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设计方案及成果质量达到招标人提出的要求下，按照“5万元≤</w:t>
            </w:r>
            <w:r>
              <w:rPr>
                <w:rStyle w:val="32"/>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sz w:val="24"/>
                <w:szCs w:val="24"/>
                <w:lang w:val="en-US" w:eastAsia="zh-CN"/>
              </w:rPr>
              <w:t>＜20万元、20万元≤</w:t>
            </w:r>
            <w:r>
              <w:rPr>
                <w:rStyle w:val="32"/>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sz w:val="24"/>
                <w:szCs w:val="24"/>
                <w:lang w:val="en-US" w:eastAsia="zh-CN"/>
              </w:rPr>
              <w:t>＜50万元、50万元≤</w:t>
            </w:r>
            <w:r>
              <w:rPr>
                <w:rStyle w:val="32"/>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color w:val="auto"/>
                <w:kern w:val="2"/>
                <w:sz w:val="24"/>
                <w:szCs w:val="24"/>
                <w:highlight w:val="none"/>
                <w:vertAlign w:val="baseline"/>
                <w:lang w:val="en-US" w:eastAsia="zh-CN" w:bidi="ar-SA"/>
              </w:rPr>
              <w:t>＜80万元</w:t>
            </w:r>
            <w:r>
              <w:rPr>
                <w:rFonts w:hint="eastAsia" w:ascii="仿宋" w:hAnsi="仿宋" w:eastAsia="仿宋" w:cs="仿宋"/>
                <w:sz w:val="24"/>
                <w:szCs w:val="24"/>
                <w:lang w:val="en-US" w:eastAsia="zh-CN"/>
              </w:rPr>
              <w:t>”的项目，分别以投标人所报设计周期天数平均值为满分5分，大于平均天数减1分，小于平均天数加1分，最高不超过8分。</w:t>
            </w:r>
          </w:p>
          <w:p w14:paraId="599636FF">
            <w:pPr>
              <w:numPr>
                <w:ilvl w:val="0"/>
                <w:numId w:val="0"/>
              </w:numPr>
              <w:autoSpaceDE w:val="0"/>
              <w:autoSpaceDN w:val="0"/>
              <w:adjustRightInd w:val="0"/>
              <w:spacing w:line="240" w:lineRule="auto"/>
              <w:ind w:left="0" w:leftChars="0" w:firstLine="0" w:firstLineChars="0"/>
              <w:jc w:val="both"/>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lang w:val="en-US" w:eastAsia="zh-CN"/>
              </w:rPr>
              <w:t>2、服务承诺：服务进度和设计质量保证措施制定合理，详实具体、可操作性强的得（0-6分）。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_Toc520356170"/>
      <w:bookmarkStart w:id="6" w:name="成交供货商候选人的确定标准"/>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53E0A8D2">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27C405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B2032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hAnsi="宋体" w:cs="宋体"/>
          <w:color w:val="auto"/>
          <w:sz w:val="24"/>
          <w:highlight w:val="none"/>
          <w:u w:val="single"/>
          <w:lang w:eastAsia="zh-CN"/>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lang w:eastAsia="zh-CN"/>
        </w:rPr>
        <w:t xml:space="preserve"> </w:t>
      </w:r>
      <w:r>
        <w:rPr>
          <w:rFonts w:hint="eastAsia" w:hAnsi="宋体" w:cs="宋体"/>
          <w:color w:val="auto"/>
          <w:sz w:val="24"/>
          <w:highlight w:val="none"/>
        </w:rPr>
        <w:t>，其注册登记地址为：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，法定代表人为：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ascii="宋体" w:hAnsi="宋体" w:eastAsia="宋体" w:cs="宋体"/>
          <w:color w:val="auto"/>
          <w:sz w:val="24"/>
          <w:szCs w:val="24"/>
          <w:highlight w:val="none"/>
        </w:rPr>
        <w:t xml:space="preserve"> </w:t>
      </w:r>
    </w:p>
    <w:p w14:paraId="56684F35">
      <w:pPr>
        <w:spacing w:line="480" w:lineRule="exact"/>
        <w:ind w:firstLine="480" w:firstLineChars="200"/>
        <w:rPr>
          <w:rFonts w:hint="eastAsia" w:ascii="仿宋" w:hAnsi="仿宋" w:eastAsia="仿宋" w:cs="仿宋"/>
          <w:sz w:val="24"/>
        </w:rPr>
      </w:pPr>
      <w:r>
        <w:rPr>
          <w:rFonts w:hint="eastAsia" w:ascii="仿宋" w:hAnsi="仿宋" w:eastAsia="仿宋" w:cs="仿宋"/>
          <w:sz w:val="24"/>
        </w:rPr>
        <w:t>根据《中华人民共和国民法典》、《中华人民共和国建筑法》、《建设工程勘察设计管理条例》、地方有关建设工程勘察设计管理等的法律规定，遵循平等、自愿、公平和诚实信用的原则，</w:t>
      </w:r>
      <w:r>
        <w:rPr>
          <w:rFonts w:hint="eastAsia" w:ascii="仿宋" w:hAnsi="仿宋" w:eastAsia="仿宋" w:cs="仿宋"/>
          <w:sz w:val="22"/>
          <w:szCs w:val="18"/>
        </w:rPr>
        <w:t>双方就陕西中医药大学第二附属医院</w:t>
      </w:r>
      <w:r>
        <w:rPr>
          <w:rFonts w:hint="eastAsia" w:ascii="仿宋" w:hAnsi="仿宋" w:eastAsia="仿宋" w:cs="仿宋"/>
          <w:sz w:val="22"/>
          <w:szCs w:val="18"/>
          <w:lang w:val="en-US" w:eastAsia="zh-CN"/>
        </w:rPr>
        <w:t>新增</w:t>
      </w:r>
      <w:r>
        <w:rPr>
          <w:rFonts w:hint="eastAsia" w:ascii="仿宋" w:hAnsi="仿宋" w:eastAsia="仿宋" w:cs="仿宋"/>
          <w:sz w:val="22"/>
          <w:szCs w:val="18"/>
        </w:rPr>
        <w:t>工程设计单位</w:t>
      </w:r>
      <w:r>
        <w:rPr>
          <w:rFonts w:hint="eastAsia" w:ascii="仿宋" w:hAnsi="仿宋" w:eastAsia="仿宋" w:cs="仿宋"/>
          <w:sz w:val="22"/>
          <w:szCs w:val="18"/>
          <w:lang w:val="en-US" w:eastAsia="zh-CN"/>
        </w:rPr>
        <w:t>项目</w:t>
      </w:r>
      <w:r>
        <w:rPr>
          <w:rFonts w:hint="eastAsia" w:ascii="仿宋" w:hAnsi="仿宋" w:eastAsia="仿宋" w:cs="仿宋"/>
          <w:sz w:val="24"/>
        </w:rPr>
        <w:t>，服务范围为</w:t>
      </w:r>
      <w:r>
        <w:rPr>
          <w:rFonts w:hint="eastAsia" w:ascii="仿宋" w:hAnsi="仿宋" w:eastAsia="仿宋" w:cs="仿宋"/>
          <w:sz w:val="24"/>
          <w:lang w:val="en-US" w:eastAsia="zh-CN"/>
        </w:rPr>
        <w:t>医院委托给设计单位，</w:t>
      </w:r>
      <w:r>
        <w:rPr>
          <w:rFonts w:hint="eastAsia" w:ascii="仿宋" w:hAnsi="仿宋" w:eastAsia="仿宋" w:cs="仿宋"/>
          <w:sz w:val="24"/>
        </w:rPr>
        <w:t>单项金额不大于80万元的工程项目进行设计，共同达成如下协议：</w:t>
      </w:r>
    </w:p>
    <w:p w14:paraId="069900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一、服务概况</w:t>
      </w:r>
    </w:p>
    <w:p w14:paraId="7B8571B7">
      <w:pPr>
        <w:spacing w:line="480" w:lineRule="exact"/>
        <w:ind w:firstLine="480" w:firstLineChars="200"/>
        <w:rPr>
          <w:rFonts w:hint="eastAsia" w:ascii="仿宋" w:hAnsi="仿宋" w:eastAsia="仿宋" w:cs="仿宋"/>
          <w:sz w:val="24"/>
        </w:rPr>
      </w:pPr>
      <w:r>
        <w:rPr>
          <w:rFonts w:hint="eastAsia" w:ascii="仿宋" w:hAnsi="仿宋" w:eastAsia="仿宋" w:cs="仿宋"/>
          <w:sz w:val="24"/>
        </w:rPr>
        <w:t>1.服务名称：陕西中医药大学第二附属医院院内招标工程项目设计服务；</w:t>
      </w:r>
    </w:p>
    <w:p w14:paraId="2E19810E">
      <w:pPr>
        <w:spacing w:line="480" w:lineRule="exact"/>
        <w:ind w:firstLine="480" w:firstLineChars="200"/>
        <w:rPr>
          <w:rFonts w:hint="eastAsia" w:ascii="仿宋" w:hAnsi="仿宋" w:eastAsia="仿宋" w:cs="仿宋"/>
          <w:sz w:val="24"/>
        </w:rPr>
      </w:pPr>
      <w:r>
        <w:rPr>
          <w:rFonts w:hint="eastAsia" w:ascii="仿宋" w:hAnsi="仿宋" w:eastAsia="仿宋" w:cs="仿宋"/>
          <w:sz w:val="24"/>
        </w:rPr>
        <w:t>2.服务地点：陕西中医药大学第二附属医院秦都院区、西咸院区</w:t>
      </w:r>
      <w:r>
        <w:rPr>
          <w:rFonts w:hint="eastAsia" w:ascii="仿宋" w:hAnsi="仿宋" w:eastAsia="仿宋" w:cs="仿宋"/>
          <w:sz w:val="24"/>
          <w:lang w:val="en-US" w:eastAsia="zh-CN"/>
        </w:rPr>
        <w:t>及其他分院</w:t>
      </w:r>
      <w:r>
        <w:rPr>
          <w:rFonts w:hint="eastAsia" w:ascii="仿宋" w:hAnsi="仿宋" w:eastAsia="仿宋" w:cs="仿宋"/>
          <w:sz w:val="24"/>
        </w:rPr>
        <w:t>；</w:t>
      </w:r>
    </w:p>
    <w:p w14:paraId="49702683">
      <w:pPr>
        <w:spacing w:line="480" w:lineRule="exact"/>
        <w:ind w:firstLine="480" w:firstLineChars="200"/>
        <w:rPr>
          <w:rFonts w:hint="eastAsia" w:ascii="仿宋" w:hAnsi="仿宋" w:eastAsia="仿宋" w:cs="仿宋"/>
          <w:sz w:val="24"/>
        </w:rPr>
      </w:pPr>
      <w:r>
        <w:rPr>
          <w:rFonts w:hint="eastAsia" w:ascii="仿宋" w:hAnsi="仿宋" w:eastAsia="仿宋" w:cs="仿宋"/>
          <w:sz w:val="24"/>
        </w:rPr>
        <w:t>3.服务期限：</w:t>
      </w:r>
      <w:r>
        <w:rPr>
          <w:rFonts w:hint="eastAsia" w:ascii="仿宋" w:hAnsi="仿宋" w:eastAsia="仿宋" w:cs="仿宋"/>
          <w:sz w:val="24"/>
          <w:lang w:val="en-US" w:eastAsia="zh-CN"/>
        </w:rPr>
        <w:t>一</w:t>
      </w:r>
      <w:r>
        <w:rPr>
          <w:rFonts w:hint="eastAsia" w:ascii="仿宋" w:hAnsi="仿宋" w:eastAsia="仿宋" w:cs="仿宋"/>
          <w:sz w:val="24"/>
        </w:rPr>
        <w:t>年或设计费用达到45万元，满足任何一项则自动终止本合同；</w:t>
      </w:r>
    </w:p>
    <w:p w14:paraId="31C14652">
      <w:pPr>
        <w:spacing w:line="480" w:lineRule="exact"/>
        <w:ind w:firstLine="480" w:firstLineChars="200"/>
        <w:rPr>
          <w:rFonts w:hint="eastAsia" w:ascii="仿宋" w:hAnsi="仿宋" w:eastAsia="仿宋" w:cs="仿宋"/>
          <w:sz w:val="24"/>
        </w:rPr>
      </w:pPr>
      <w:r>
        <w:rPr>
          <w:rFonts w:hint="eastAsia" w:ascii="仿宋" w:hAnsi="仿宋" w:eastAsia="仿宋" w:cs="仿宋"/>
          <w:sz w:val="24"/>
        </w:rPr>
        <w:t>4.设计范围：医院委托给工程设计单位工程项目设计的所有工作，各阶段设计费用、出具</w:t>
      </w:r>
      <w:r>
        <w:rPr>
          <w:rFonts w:hint="eastAsia" w:ascii="仿宋" w:hAnsi="仿宋" w:eastAsia="仿宋" w:cs="仿宋"/>
          <w:sz w:val="24"/>
          <w:lang w:val="en-US" w:eastAsia="zh-CN"/>
        </w:rPr>
        <w:t>效果图、</w:t>
      </w:r>
      <w:r>
        <w:rPr>
          <w:rFonts w:hint="eastAsia" w:ascii="仿宋" w:hAnsi="仿宋" w:eastAsia="仿宋" w:cs="仿宋"/>
          <w:sz w:val="24"/>
        </w:rPr>
        <w:t>工程概算和后期后续服务，以及所有为完成本项目范围内工程设计有关的成本、利润、保险、税费、风险、专题研究、试验费用、现场办公及车旅费用、工程实施过程中变更设计费用、按照委托方要求提供的图纸费用以及如需要进行的专家论证等全部费用。</w:t>
      </w:r>
    </w:p>
    <w:p w14:paraId="18C429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二、服务标准(包括质量要求)，满足以下标准要求</w:t>
      </w:r>
    </w:p>
    <w:p w14:paraId="48796B23">
      <w:pPr>
        <w:spacing w:line="480" w:lineRule="exact"/>
        <w:ind w:firstLine="480" w:firstLineChars="200"/>
        <w:rPr>
          <w:rFonts w:hint="eastAsia" w:ascii="仿宋" w:hAnsi="仿宋" w:eastAsia="仿宋" w:cs="仿宋"/>
          <w:sz w:val="24"/>
        </w:rPr>
      </w:pPr>
      <w:r>
        <w:rPr>
          <w:rFonts w:hint="eastAsia" w:ascii="仿宋" w:hAnsi="仿宋" w:eastAsia="仿宋" w:cs="仿宋"/>
          <w:sz w:val="24"/>
        </w:rPr>
        <w:t>1.国家标准；</w:t>
      </w:r>
    </w:p>
    <w:p w14:paraId="72AF8D02">
      <w:pPr>
        <w:spacing w:line="480" w:lineRule="exact"/>
        <w:ind w:firstLine="480" w:firstLineChars="200"/>
        <w:rPr>
          <w:rFonts w:hint="eastAsia" w:ascii="仿宋" w:hAnsi="仿宋" w:eastAsia="仿宋" w:cs="仿宋"/>
          <w:sz w:val="24"/>
        </w:rPr>
      </w:pPr>
      <w:r>
        <w:rPr>
          <w:rFonts w:hint="eastAsia" w:ascii="仿宋" w:hAnsi="仿宋" w:eastAsia="仿宋" w:cs="仿宋"/>
          <w:sz w:val="24"/>
        </w:rPr>
        <w:t>2.部颁标准；</w:t>
      </w:r>
    </w:p>
    <w:p w14:paraId="15ED29F2">
      <w:pPr>
        <w:spacing w:line="480" w:lineRule="exact"/>
        <w:ind w:firstLine="480" w:firstLineChars="200"/>
        <w:rPr>
          <w:rFonts w:hint="eastAsia" w:ascii="仿宋" w:hAnsi="仿宋" w:eastAsia="仿宋" w:cs="仿宋"/>
          <w:sz w:val="24"/>
        </w:rPr>
      </w:pPr>
      <w:r>
        <w:rPr>
          <w:rFonts w:hint="eastAsia" w:ascii="仿宋" w:hAnsi="仿宋" w:eastAsia="仿宋" w:cs="仿宋"/>
          <w:sz w:val="24"/>
        </w:rPr>
        <w:t>3.本合同；</w:t>
      </w:r>
    </w:p>
    <w:p w14:paraId="528D2B8B">
      <w:pPr>
        <w:spacing w:line="480" w:lineRule="exact"/>
        <w:ind w:firstLine="480" w:firstLineChars="200"/>
        <w:rPr>
          <w:rFonts w:hint="eastAsia" w:ascii="仿宋" w:hAnsi="仿宋" w:eastAsia="仿宋" w:cs="仿宋"/>
          <w:sz w:val="24"/>
        </w:rPr>
      </w:pPr>
      <w:r>
        <w:rPr>
          <w:rFonts w:hint="eastAsia" w:ascii="仿宋" w:hAnsi="仿宋" w:eastAsia="仿宋" w:cs="仿宋"/>
          <w:sz w:val="24"/>
        </w:rPr>
        <w:t>4.招标文件；</w:t>
      </w:r>
    </w:p>
    <w:p w14:paraId="2F7F5643">
      <w:pPr>
        <w:spacing w:line="480" w:lineRule="exact"/>
        <w:ind w:firstLine="480" w:firstLineChars="200"/>
        <w:rPr>
          <w:rFonts w:hint="eastAsia" w:ascii="仿宋" w:hAnsi="仿宋" w:eastAsia="仿宋" w:cs="仿宋"/>
          <w:sz w:val="24"/>
        </w:rPr>
      </w:pPr>
      <w:r>
        <w:rPr>
          <w:rFonts w:hint="eastAsia" w:ascii="仿宋" w:hAnsi="仿宋" w:eastAsia="仿宋" w:cs="仿宋"/>
          <w:sz w:val="24"/>
        </w:rPr>
        <w:t>5.投标文件；</w:t>
      </w:r>
    </w:p>
    <w:p w14:paraId="40AABCEE">
      <w:pPr>
        <w:spacing w:line="480" w:lineRule="exact"/>
        <w:ind w:firstLine="480" w:firstLineChars="200"/>
        <w:rPr>
          <w:rFonts w:hint="eastAsia" w:ascii="仿宋" w:hAnsi="仿宋" w:eastAsia="仿宋" w:cs="仿宋"/>
          <w:sz w:val="24"/>
        </w:rPr>
      </w:pPr>
      <w:r>
        <w:rPr>
          <w:rFonts w:hint="eastAsia" w:ascii="仿宋" w:hAnsi="仿宋" w:eastAsia="仿宋" w:cs="仿宋"/>
          <w:sz w:val="24"/>
        </w:rPr>
        <w:t>6.其他行业规范标准等。</w:t>
      </w:r>
    </w:p>
    <w:p w14:paraId="156738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三、服务费用：</w:t>
      </w:r>
    </w:p>
    <w:p w14:paraId="43E774E2">
      <w:pPr>
        <w:spacing w:line="480" w:lineRule="exact"/>
        <w:ind w:firstLine="480" w:firstLineChars="200"/>
        <w:rPr>
          <w:rFonts w:hint="eastAsia" w:ascii="仿宋" w:hAnsi="仿宋" w:eastAsia="仿宋" w:cs="仿宋"/>
          <w:sz w:val="24"/>
        </w:rPr>
      </w:pPr>
      <w:r>
        <w:rPr>
          <w:rFonts w:hint="eastAsia" w:ascii="仿宋" w:hAnsi="仿宋" w:eastAsia="仿宋" w:cs="仿宋"/>
          <w:sz w:val="24"/>
        </w:rPr>
        <w:t>1.按审计审定工程的最高限价乘以工程设计费率计价</w:t>
      </w:r>
    </w:p>
    <w:tbl>
      <w:tblPr>
        <w:tblStyle w:val="21"/>
        <w:tblW w:w="7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6"/>
        <w:gridCol w:w="3292"/>
      </w:tblGrid>
      <w:tr w14:paraId="215D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14:paraId="632EF317">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工程最高限价（万元）</w:t>
            </w:r>
          </w:p>
        </w:tc>
        <w:tc>
          <w:tcPr>
            <w:tcW w:w="3292" w:type="dxa"/>
            <w:noWrap w:val="0"/>
            <w:vAlign w:val="center"/>
          </w:tcPr>
          <w:p w14:paraId="3D5274AB">
            <w:pPr>
              <w:spacing w:line="480" w:lineRule="exact"/>
              <w:jc w:val="center"/>
              <w:rPr>
                <w:rFonts w:hint="eastAsia" w:ascii="仿宋" w:hAnsi="仿宋" w:eastAsia="仿宋" w:cs="仿宋"/>
                <w:sz w:val="24"/>
              </w:rPr>
            </w:pPr>
            <w:r>
              <w:rPr>
                <w:rFonts w:hint="eastAsia" w:ascii="仿宋" w:hAnsi="仿宋" w:eastAsia="仿宋" w:cs="仿宋"/>
                <w:sz w:val="24"/>
              </w:rPr>
              <w:t>收费费率</w:t>
            </w:r>
          </w:p>
        </w:tc>
      </w:tr>
      <w:tr w14:paraId="3993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14:paraId="0C96F1B2">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5≤项目最高限价＜20</w:t>
            </w:r>
          </w:p>
        </w:tc>
        <w:tc>
          <w:tcPr>
            <w:tcW w:w="3292" w:type="dxa"/>
            <w:noWrap w:val="0"/>
            <w:vAlign w:val="center"/>
          </w:tcPr>
          <w:p w14:paraId="74A5A923">
            <w:pPr>
              <w:spacing w:line="480" w:lineRule="exact"/>
              <w:ind w:firstLine="480" w:firstLineChars="200"/>
              <w:jc w:val="center"/>
              <w:rPr>
                <w:rFonts w:hint="eastAsia" w:ascii="仿宋" w:hAnsi="仿宋" w:eastAsia="仿宋" w:cs="仿宋"/>
                <w:sz w:val="24"/>
              </w:rPr>
            </w:pPr>
          </w:p>
        </w:tc>
      </w:tr>
      <w:tr w14:paraId="2F15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3836" w:type="dxa"/>
            <w:noWrap w:val="0"/>
            <w:vAlign w:val="center"/>
          </w:tcPr>
          <w:p w14:paraId="1C513AF0">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20≤项目最高限价＜50</w:t>
            </w:r>
          </w:p>
        </w:tc>
        <w:tc>
          <w:tcPr>
            <w:tcW w:w="3292" w:type="dxa"/>
            <w:noWrap w:val="0"/>
            <w:vAlign w:val="center"/>
          </w:tcPr>
          <w:p w14:paraId="3CB45A15">
            <w:pPr>
              <w:spacing w:line="480" w:lineRule="exact"/>
              <w:ind w:firstLine="480" w:firstLineChars="200"/>
              <w:jc w:val="center"/>
              <w:rPr>
                <w:rFonts w:hint="eastAsia" w:ascii="仿宋" w:hAnsi="仿宋" w:eastAsia="仿宋" w:cs="仿宋"/>
                <w:sz w:val="24"/>
              </w:rPr>
            </w:pPr>
          </w:p>
        </w:tc>
      </w:tr>
      <w:tr w14:paraId="15BA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14:paraId="4F60990C">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50≤项目最高限价＜80</w:t>
            </w:r>
          </w:p>
        </w:tc>
        <w:tc>
          <w:tcPr>
            <w:tcW w:w="3292" w:type="dxa"/>
            <w:noWrap w:val="0"/>
            <w:vAlign w:val="center"/>
          </w:tcPr>
          <w:p w14:paraId="2789515B">
            <w:pPr>
              <w:spacing w:line="480" w:lineRule="exact"/>
              <w:ind w:firstLine="480" w:firstLineChars="200"/>
              <w:jc w:val="center"/>
              <w:rPr>
                <w:rFonts w:hint="eastAsia" w:ascii="仿宋" w:hAnsi="仿宋" w:eastAsia="仿宋" w:cs="仿宋"/>
                <w:sz w:val="24"/>
              </w:rPr>
            </w:pPr>
          </w:p>
        </w:tc>
      </w:tr>
    </w:tbl>
    <w:p w14:paraId="0C0DC652">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 2.合同为固定费率合同，不受市场价变化的影响。</w:t>
      </w:r>
    </w:p>
    <w:p w14:paraId="232585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四、费用结算</w:t>
      </w:r>
    </w:p>
    <w:p w14:paraId="56843C08">
      <w:pPr>
        <w:spacing w:line="480" w:lineRule="exact"/>
        <w:ind w:firstLine="480" w:firstLineChars="200"/>
        <w:rPr>
          <w:rFonts w:hint="eastAsia" w:ascii="仿宋" w:hAnsi="仿宋" w:eastAsia="仿宋" w:cs="仿宋"/>
          <w:sz w:val="24"/>
        </w:rPr>
      </w:pPr>
      <w:r>
        <w:rPr>
          <w:rFonts w:hint="eastAsia" w:ascii="仿宋" w:hAnsi="仿宋" w:eastAsia="仿宋" w:cs="仿宋"/>
          <w:sz w:val="24"/>
        </w:rPr>
        <w:t>1、付款比例：</w:t>
      </w:r>
    </w:p>
    <w:p w14:paraId="0882FB47">
      <w:pPr>
        <w:spacing w:line="480" w:lineRule="exact"/>
        <w:ind w:firstLine="480" w:firstLineChars="200"/>
        <w:rPr>
          <w:rFonts w:hint="eastAsia" w:ascii="仿宋" w:hAnsi="仿宋" w:eastAsia="仿宋" w:cs="仿宋"/>
          <w:sz w:val="24"/>
        </w:rPr>
      </w:pPr>
      <w:r>
        <w:rPr>
          <w:rFonts w:hint="eastAsia" w:ascii="仿宋" w:hAnsi="仿宋" w:eastAsia="仿宋" w:cs="仿宋"/>
          <w:sz w:val="24"/>
        </w:rPr>
        <w:t>（1）设计成果交由甲方且完成第一次施工技术交底后后进行部分付款（70%），配合施工方进行技术交底和指导及配合甲方完成验收后进行剩余部分付款（30%）。设计须满足国家现行《建筑工程设计文件编制深度规定》要求、医院及科室需求，且配合施工方进行技术交底和指导及配合甲方完成验收。</w:t>
      </w:r>
    </w:p>
    <w:p w14:paraId="671DB472">
      <w:pPr>
        <w:spacing w:line="480" w:lineRule="exact"/>
        <w:ind w:firstLine="480" w:firstLineChars="200"/>
        <w:rPr>
          <w:rFonts w:hint="eastAsia" w:ascii="仿宋" w:hAnsi="仿宋" w:eastAsia="仿宋" w:cs="仿宋"/>
          <w:sz w:val="24"/>
        </w:rPr>
      </w:pPr>
      <w:r>
        <w:rPr>
          <w:rFonts w:hint="eastAsia" w:ascii="仿宋" w:hAnsi="仿宋" w:eastAsia="仿宋" w:cs="仿宋"/>
          <w:sz w:val="24"/>
        </w:rPr>
        <w:t>（2）甲方付款前，乙方需按照甲方要求提供发票，否则甲方有权拒付费用且不承担任何责任。</w:t>
      </w:r>
    </w:p>
    <w:p w14:paraId="25622580">
      <w:pPr>
        <w:spacing w:line="480" w:lineRule="exact"/>
        <w:ind w:firstLine="480" w:firstLineChars="200"/>
        <w:rPr>
          <w:rFonts w:hint="eastAsia" w:ascii="仿宋" w:hAnsi="仿宋" w:eastAsia="仿宋" w:cs="仿宋"/>
          <w:sz w:val="24"/>
        </w:rPr>
      </w:pPr>
      <w:r>
        <w:rPr>
          <w:rFonts w:hint="eastAsia" w:ascii="仿宋" w:hAnsi="仿宋" w:eastAsia="仿宋" w:cs="仿宋"/>
          <w:sz w:val="24"/>
        </w:rPr>
        <w:t>2、结算方式：银行转账。</w:t>
      </w:r>
    </w:p>
    <w:p w14:paraId="24EBB4AB">
      <w:pPr>
        <w:spacing w:line="480" w:lineRule="exact"/>
        <w:ind w:firstLine="480" w:firstLineChars="200"/>
        <w:rPr>
          <w:rFonts w:hint="default" w:ascii="仿宋" w:hAnsi="仿宋" w:eastAsia="仿宋" w:cs="仿宋"/>
          <w:sz w:val="24"/>
        </w:rPr>
      </w:pPr>
      <w:r>
        <w:rPr>
          <w:rFonts w:hint="eastAsia" w:ascii="仿宋" w:hAnsi="仿宋" w:eastAsia="仿宋" w:cs="仿宋"/>
          <w:sz w:val="24"/>
        </w:rPr>
        <w:t>3、结算期限：半年统一结算一次。</w:t>
      </w:r>
    </w:p>
    <w:p w14:paraId="1229CE7F">
      <w:pPr>
        <w:spacing w:line="480" w:lineRule="exact"/>
        <w:ind w:firstLine="480" w:firstLineChars="200"/>
        <w:rPr>
          <w:rFonts w:hint="eastAsia" w:ascii="仿宋" w:hAnsi="仿宋" w:eastAsia="仿宋" w:cs="仿宋"/>
          <w:sz w:val="24"/>
        </w:rPr>
      </w:pPr>
      <w:r>
        <w:rPr>
          <w:rFonts w:hint="eastAsia" w:ascii="仿宋" w:hAnsi="仿宋" w:eastAsia="仿宋" w:cs="仿宋"/>
          <w:sz w:val="24"/>
        </w:rPr>
        <w:t>4、结算单位：由采购人负责结算，乙方开具合同总价数的全额发票交采购人。</w:t>
      </w:r>
    </w:p>
    <w:p w14:paraId="28878275">
      <w:pPr>
        <w:spacing w:line="48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、结算</w:t>
      </w:r>
      <w:r>
        <w:rPr>
          <w:rFonts w:hint="eastAsia" w:ascii="仿宋" w:hAnsi="仿宋" w:eastAsia="仿宋" w:cs="仿宋"/>
          <w:sz w:val="24"/>
          <w:lang w:val="en-US" w:eastAsia="zh-CN"/>
        </w:rPr>
        <w:t>信息</w:t>
      </w:r>
      <w:r>
        <w:rPr>
          <w:rFonts w:hint="eastAsia" w:ascii="仿宋" w:hAnsi="仿宋" w:eastAsia="仿宋" w:cs="仿宋"/>
          <w:sz w:val="24"/>
        </w:rPr>
        <w:t>：</w:t>
      </w:r>
    </w:p>
    <w:p w14:paraId="7734A3FF">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乙方账户：</w:t>
      </w:r>
      <w:r>
        <w:rPr>
          <w:rFonts w:hint="eastAsia" w:ascii="仿宋" w:hAnsi="仿宋" w:eastAsia="仿宋" w:cs="仿宋"/>
          <w:sz w:val="24"/>
          <w:lang w:val="en-US" w:eastAsia="zh-CN"/>
        </w:rPr>
        <w:t xml:space="preserve"> </w:t>
      </w:r>
      <w:r>
        <w:rPr>
          <w:rFonts w:hint="default" w:ascii="仿宋" w:hAnsi="仿宋" w:eastAsia="仿宋" w:cs="仿宋"/>
          <w:sz w:val="24"/>
          <w:u w:val="single"/>
          <w:lang w:val="en-US" w:eastAsia="zh-CN"/>
        </w:rPr>
        <w:t xml:space="preserve">                       </w:t>
      </w:r>
      <w:r>
        <w:rPr>
          <w:rFonts w:hint="default" w:ascii="仿宋" w:hAnsi="仿宋" w:eastAsia="仿宋" w:cs="仿宋"/>
          <w:sz w:val="24"/>
          <w:lang w:val="en-US" w:eastAsia="zh-CN"/>
        </w:rPr>
        <w:t xml:space="preserve">                                                   </w:t>
      </w:r>
    </w:p>
    <w:p w14:paraId="400AC33A">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账    号：</w:t>
      </w:r>
      <w:r>
        <w:rPr>
          <w:rFonts w:hint="default" w:ascii="仿宋" w:hAnsi="仿宋" w:eastAsia="仿宋" w:cs="仿宋"/>
          <w:sz w:val="24"/>
          <w:u w:val="single"/>
          <w:lang w:val="en-US" w:eastAsia="zh-CN"/>
        </w:rPr>
        <w:t xml:space="preserve">                       </w:t>
      </w:r>
      <w:r>
        <w:rPr>
          <w:rFonts w:hint="eastAsia" w:ascii="仿宋" w:hAnsi="仿宋" w:eastAsia="仿宋" w:cs="仿宋"/>
          <w:sz w:val="24"/>
          <w:u w:val="single"/>
          <w:lang w:val="en-US" w:eastAsia="zh-CN"/>
        </w:rPr>
        <w:t xml:space="preserve"> </w:t>
      </w:r>
      <w:r>
        <w:rPr>
          <w:rFonts w:hint="default" w:ascii="仿宋" w:hAnsi="仿宋" w:eastAsia="仿宋" w:cs="仿宋"/>
          <w:sz w:val="24"/>
          <w:lang w:val="en-US" w:eastAsia="zh-CN"/>
        </w:rPr>
        <w:t xml:space="preserve"> </w:t>
      </w:r>
      <w:r>
        <w:rPr>
          <w:rFonts w:hint="eastAsia" w:ascii="仿宋" w:hAnsi="仿宋" w:eastAsia="仿宋" w:cs="仿宋"/>
          <w:sz w:val="24"/>
          <w:lang w:val="en-US" w:eastAsia="zh-CN"/>
        </w:rPr>
        <w:t xml:space="preserve"> </w:t>
      </w:r>
      <w:r>
        <w:rPr>
          <w:rFonts w:hint="default" w:ascii="仿宋" w:hAnsi="仿宋" w:eastAsia="仿宋" w:cs="仿宋"/>
          <w:sz w:val="24"/>
          <w:lang w:val="en-US" w:eastAsia="zh-CN"/>
        </w:rPr>
        <w:t xml:space="preserve">                                         </w:t>
      </w:r>
    </w:p>
    <w:p w14:paraId="786287C4">
      <w:pPr>
        <w:spacing w:line="480" w:lineRule="exact"/>
        <w:ind w:firstLine="480" w:firstLineChars="200"/>
        <w:rPr>
          <w:rFonts w:hint="eastAsia" w:ascii="宋体" w:hAnsi="宋体" w:eastAsia="宋体" w:cs="宋体"/>
        </w:rPr>
      </w:pPr>
      <w:r>
        <w:rPr>
          <w:rFonts w:hint="default" w:ascii="仿宋" w:hAnsi="仿宋" w:eastAsia="仿宋" w:cs="仿宋"/>
          <w:sz w:val="24"/>
          <w:lang w:val="en-US" w:eastAsia="zh-CN"/>
        </w:rPr>
        <w:t>开 户 行：</w:t>
      </w:r>
      <w:r>
        <w:rPr>
          <w:rFonts w:hint="default" w:ascii="仿宋" w:hAnsi="仿宋" w:eastAsia="仿宋" w:cs="仿宋"/>
          <w:sz w:val="24"/>
          <w:u w:val="single"/>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宋体" w:hAnsi="宋体" w:eastAsia="宋体" w:cs="宋体"/>
          <w:u w:val="none"/>
          <w:lang w:val="en-US" w:eastAsia="zh-CN"/>
        </w:rPr>
        <w:t xml:space="preserve">                   </w:t>
      </w:r>
      <w:r>
        <w:rPr>
          <w:rFonts w:hint="eastAsia" w:ascii="宋体" w:hAnsi="宋体" w:eastAsia="宋体" w:cs="宋体"/>
          <w:lang w:val="en-US" w:eastAsia="zh-CN"/>
        </w:rPr>
        <w:t xml:space="preserve"> </w:t>
      </w:r>
    </w:p>
    <w:p w14:paraId="677E0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8" w:name="_Toc19515390"/>
      <w:r>
        <w:rPr>
          <w:rFonts w:hint="default" w:ascii="仿宋" w:hAnsi="仿宋" w:eastAsia="仿宋" w:cs="仿宋"/>
          <w:b/>
          <w:bCs/>
          <w:sz w:val="24"/>
          <w:szCs w:val="24"/>
          <w:lang w:val="en-US" w:eastAsia="zh-CN"/>
        </w:rPr>
        <w:t>五、服务的完成</w:t>
      </w:r>
    </w:p>
    <w:p w14:paraId="4971483B">
      <w:pPr>
        <w:spacing w:line="480" w:lineRule="exact"/>
        <w:ind w:firstLine="480" w:firstLineChars="200"/>
        <w:rPr>
          <w:rFonts w:hint="eastAsia" w:ascii="仿宋" w:hAnsi="仿宋" w:eastAsia="仿宋" w:cs="仿宋"/>
          <w:sz w:val="24"/>
        </w:rPr>
      </w:pPr>
      <w:r>
        <w:rPr>
          <w:rFonts w:hint="eastAsia" w:ascii="仿宋" w:hAnsi="仿宋" w:eastAsia="仿宋" w:cs="仿宋"/>
          <w:sz w:val="24"/>
        </w:rPr>
        <w:t>设计方出具完整的，满足国家现行《建筑工程设计文件编制深度规定》要求且满足医院及科室区域的设计成果，并配合施工方进行交底，配合甲方完成验收后，即视为本项目服务完成。</w:t>
      </w:r>
      <w:bookmarkEnd w:id="8"/>
    </w:p>
    <w:p w14:paraId="25098A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bookmarkStart w:id="9" w:name="_Toc19515391"/>
      <w:r>
        <w:rPr>
          <w:rFonts w:hint="default" w:ascii="仿宋" w:hAnsi="仿宋" w:eastAsia="仿宋" w:cs="仿宋"/>
          <w:b/>
          <w:bCs/>
          <w:sz w:val="24"/>
          <w:szCs w:val="24"/>
          <w:lang w:val="en-US" w:eastAsia="zh-CN"/>
        </w:rPr>
        <w:t>六、</w:t>
      </w:r>
      <w:bookmarkEnd w:id="9"/>
      <w:r>
        <w:rPr>
          <w:rFonts w:hint="default" w:ascii="仿宋" w:hAnsi="仿宋" w:eastAsia="仿宋" w:cs="仿宋"/>
          <w:b/>
          <w:bCs/>
          <w:sz w:val="24"/>
          <w:szCs w:val="24"/>
          <w:lang w:val="en-US" w:eastAsia="zh-CN"/>
        </w:rPr>
        <w:t>技术服务</w:t>
      </w:r>
    </w:p>
    <w:p w14:paraId="34AB233D">
      <w:pPr>
        <w:spacing w:line="480" w:lineRule="exact"/>
        <w:ind w:firstLine="480" w:firstLineChars="200"/>
        <w:rPr>
          <w:rFonts w:hint="eastAsia" w:ascii="仿宋" w:hAnsi="仿宋" w:eastAsia="仿宋" w:cs="仿宋"/>
          <w:sz w:val="24"/>
        </w:rPr>
      </w:pPr>
      <w:r>
        <w:rPr>
          <w:rFonts w:hint="eastAsia" w:ascii="仿宋" w:hAnsi="仿宋" w:eastAsia="仿宋" w:cs="仿宋"/>
          <w:sz w:val="24"/>
        </w:rPr>
        <w:t>1、乙方在接到甲方电话通知后在 4 小时内响应，如需乙方人员到场，乙方应在4小时内与甲方约定到场时间，并承担相应费用。</w:t>
      </w:r>
    </w:p>
    <w:p w14:paraId="1E4C397D">
      <w:pPr>
        <w:spacing w:line="480" w:lineRule="exact"/>
        <w:ind w:firstLine="480" w:firstLineChars="200"/>
        <w:rPr>
          <w:rFonts w:hint="eastAsia" w:ascii="仿宋" w:hAnsi="仿宋" w:eastAsia="仿宋" w:cs="仿宋"/>
          <w:sz w:val="24"/>
        </w:rPr>
      </w:pPr>
      <w:r>
        <w:rPr>
          <w:rFonts w:hint="eastAsia" w:ascii="仿宋" w:hAnsi="仿宋" w:eastAsia="仿宋" w:cs="仿宋"/>
          <w:sz w:val="24"/>
        </w:rPr>
        <w:t>2、如果乙方在收到通知后48小时内未响应，甲方可采取必要的补救措施，但其风险和费用将由乙方承担，甲方根据合同规定对乙方行使的其它权力不受影响。</w:t>
      </w:r>
    </w:p>
    <w:p w14:paraId="28B87191">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 3、合同执行期间，若需要对设计方案进行调整，乙方应无条件配合，直至设计方案调整完成。</w:t>
      </w:r>
    </w:p>
    <w:p w14:paraId="257E7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10" w:name="_Toc19515392"/>
      <w:r>
        <w:rPr>
          <w:rFonts w:hint="default" w:ascii="仿宋" w:hAnsi="仿宋" w:eastAsia="仿宋" w:cs="仿宋"/>
          <w:b/>
          <w:bCs/>
          <w:sz w:val="24"/>
          <w:szCs w:val="24"/>
          <w:lang w:val="en-US" w:eastAsia="zh-CN"/>
        </w:rPr>
        <w:t>七、违约责任</w:t>
      </w:r>
      <w:bookmarkEnd w:id="10"/>
    </w:p>
    <w:p w14:paraId="151146DD">
      <w:pPr>
        <w:spacing w:line="480" w:lineRule="exact"/>
        <w:ind w:firstLine="480" w:firstLineChars="200"/>
        <w:rPr>
          <w:rFonts w:hint="eastAsia" w:ascii="仿宋" w:hAnsi="仿宋" w:eastAsia="仿宋" w:cs="仿宋"/>
          <w:sz w:val="24"/>
        </w:rPr>
      </w:pPr>
      <w:r>
        <w:rPr>
          <w:rFonts w:hint="eastAsia" w:ascii="仿宋" w:hAnsi="仿宋" w:eastAsia="仿宋" w:cs="仿宋"/>
          <w:sz w:val="24"/>
        </w:rPr>
        <w:t>1、在合同履行期间，甲方单方面要求终止或解除某一项设计工程，乙方未开始设计工作的，甲方不支付乙方任何费用；已开始设计工作的，双方按照乙方实际完成的经甲方确认为有效的工作量双方协商解决。</w:t>
      </w:r>
    </w:p>
    <w:p w14:paraId="25CF662A">
      <w:pPr>
        <w:spacing w:line="480" w:lineRule="exact"/>
        <w:ind w:firstLine="480" w:firstLineChars="200"/>
        <w:rPr>
          <w:rFonts w:hint="eastAsia" w:ascii="仿宋" w:hAnsi="仿宋" w:eastAsia="仿宋" w:cs="仿宋"/>
          <w:sz w:val="24"/>
        </w:rPr>
      </w:pPr>
      <w:r>
        <w:rPr>
          <w:rFonts w:hint="eastAsia" w:ascii="仿宋" w:hAnsi="仿宋" w:eastAsia="仿宋" w:cs="仿宋"/>
          <w:sz w:val="24"/>
        </w:rPr>
        <w:t>2、甲方应按本合同规定的金额和时间向乙方支付设计费，每逾期支付一天，应承担逾期部分金额千分之二的逾期付款违约金。</w:t>
      </w:r>
    </w:p>
    <w:p w14:paraId="3D7D1F5A">
      <w:pPr>
        <w:spacing w:line="480" w:lineRule="exact"/>
        <w:ind w:firstLine="480" w:firstLineChars="200"/>
        <w:rPr>
          <w:rFonts w:hint="eastAsia" w:ascii="仿宋" w:hAnsi="仿宋" w:eastAsia="仿宋" w:cs="仿宋"/>
          <w:sz w:val="24"/>
        </w:rPr>
      </w:pPr>
      <w:r>
        <w:rPr>
          <w:rFonts w:hint="eastAsia" w:ascii="仿宋" w:hAnsi="仿宋" w:eastAsia="仿宋" w:cs="仿宋"/>
          <w:sz w:val="24"/>
        </w:rPr>
        <w:t>3、乙方所出设计成果应向甲方负责，包括但不限于对设计资料、文件出现的遗漏或错误负责修改或补充，且工程概算需要由国家认定的专业人员编制，如后期与第三方造价公司出具的工程预算差额过大（概算大于预算20%或低于预算金额），则视为违约，按照设计费的10%在项目结算时进行扣款。由于乙方错误造成工程质量事故损失的，乙方除负责采取补救措施外，应免收受损失部分的设计费，损失严重的根据损失的程度和乙方责任大小向甲方支付赔偿金。因设计原因造成第三方损失承担赔偿责任，构成犯罪的承担刑事及民事责任。</w:t>
      </w:r>
    </w:p>
    <w:p w14:paraId="393EE1B9">
      <w:pPr>
        <w:spacing w:line="480" w:lineRule="exact"/>
        <w:ind w:firstLine="480" w:firstLineChars="200"/>
        <w:rPr>
          <w:rFonts w:hint="eastAsia" w:ascii="仿宋" w:hAnsi="仿宋" w:eastAsia="仿宋" w:cs="仿宋"/>
          <w:sz w:val="24"/>
        </w:rPr>
      </w:pPr>
      <w:r>
        <w:rPr>
          <w:rFonts w:hint="eastAsia" w:ascii="仿宋" w:hAnsi="仿宋" w:eastAsia="仿宋" w:cs="仿宋"/>
          <w:sz w:val="24"/>
        </w:rPr>
        <w:t>4、由于乙方自身原因，延误了合同规定的设计资料及设计文件的交付时间，每延误一天，应按该项目全部设计费的3%向甲方支付违约金，累计逾期未超过30天的在项目结算时进行扣款，如超过30天视为乙方根本违约，甲方有权单方解除本合同，合同自书面解除通知送达乙方之日起解除，乙方除应退还甲方该项目支付的全部费用外，还应按照全部设计费的20%向甲方支付违约金或直接在履约保证金中扣除。</w:t>
      </w:r>
    </w:p>
    <w:p w14:paraId="60A875BC">
      <w:pPr>
        <w:spacing w:line="480" w:lineRule="exact"/>
        <w:ind w:firstLine="480" w:firstLineChars="200"/>
        <w:rPr>
          <w:rFonts w:hint="eastAsia" w:ascii="仿宋" w:hAnsi="仿宋" w:eastAsia="仿宋" w:cs="仿宋"/>
          <w:sz w:val="24"/>
        </w:rPr>
      </w:pPr>
      <w:r>
        <w:rPr>
          <w:rFonts w:hint="eastAsia" w:ascii="仿宋" w:hAnsi="仿宋" w:eastAsia="仿宋" w:cs="仿宋"/>
          <w:sz w:val="24"/>
        </w:rPr>
        <w:t>5、施工过程中的设计变更或需要乙方现场处理的问题，包括工程重要部位的验收等，乙方应在 24小时内派人现场解决。否则违约一次扣按照全部设计费的 5%支付违约金。工程验收资料需要乙方盖章的，乙方不得推托延误。</w:t>
      </w:r>
    </w:p>
    <w:p w14:paraId="6782126A">
      <w:pPr>
        <w:spacing w:line="480" w:lineRule="exact"/>
        <w:ind w:firstLine="480" w:firstLineChars="200"/>
        <w:rPr>
          <w:rFonts w:hint="eastAsia" w:ascii="仿宋" w:hAnsi="仿宋" w:eastAsia="仿宋" w:cs="仿宋"/>
          <w:sz w:val="24"/>
        </w:rPr>
      </w:pPr>
      <w:r>
        <w:rPr>
          <w:rFonts w:hint="eastAsia" w:ascii="仿宋" w:hAnsi="仿宋" w:eastAsia="仿宋" w:cs="仿宋"/>
          <w:sz w:val="24"/>
        </w:rPr>
        <w:t>6、合同生效后，乙方因可归责于自身的原因单方终止或解除合同的，甲方有权扣除乙方全部履约保证金,并将后续设计工程项目交由第三方设计单位进行设计合作。</w:t>
      </w:r>
    </w:p>
    <w:p w14:paraId="498EF7B6">
      <w:pPr>
        <w:spacing w:line="480" w:lineRule="exact"/>
        <w:ind w:firstLine="480" w:firstLineChars="200"/>
        <w:rPr>
          <w:rFonts w:hint="eastAsia" w:ascii="仿宋" w:hAnsi="仿宋" w:eastAsia="仿宋" w:cs="仿宋"/>
          <w:sz w:val="24"/>
        </w:rPr>
      </w:pPr>
      <w:r>
        <w:rPr>
          <w:rFonts w:hint="eastAsia" w:ascii="仿宋" w:hAnsi="仿宋" w:eastAsia="仿宋" w:cs="仿宋"/>
          <w:sz w:val="24"/>
        </w:rPr>
        <w:t>7、乙方承诺遵守商业秘密及同业禁止原则，并为甲方提供团队所有参与者的书面承诺。未经甲方同意，不得将项目相关资料及在履行合同过程中获取的甲方机密信息、患者信息等秘密信息披露给任何第三方，否则甲方有权要求乙方按照合该项目设计费的20%支付违约金，并赔偿给甲方造成的全部损失。</w:t>
      </w:r>
    </w:p>
    <w:p w14:paraId="3E002E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八、知识产权</w:t>
      </w:r>
    </w:p>
    <w:p w14:paraId="112F97E8">
      <w:pPr>
        <w:spacing w:line="480" w:lineRule="exact"/>
        <w:ind w:firstLine="480" w:firstLineChars="200"/>
        <w:rPr>
          <w:rFonts w:hint="eastAsia" w:ascii="仿宋" w:hAnsi="仿宋" w:eastAsia="仿宋" w:cs="仿宋"/>
          <w:sz w:val="24"/>
        </w:rPr>
      </w:pPr>
      <w:r>
        <w:rPr>
          <w:rFonts w:hint="eastAsia" w:ascii="仿宋" w:hAnsi="仿宋" w:eastAsia="仿宋" w:cs="仿宋"/>
          <w:sz w:val="24"/>
        </w:rPr>
        <w:t>设计单位在其工作范围内应确保其全部设计文件在中国境内外都没有且不会侵犯任何第三方的知识产权( 包括但不限于著作权、商标权、专利权)或专利技术或商业机密。如因设计单位提供的设计文件导致委托方侵权的，由设计单位承担全部责任。委托方因此遭受索赔的，有权向设计单位追偿。</w:t>
      </w:r>
    </w:p>
    <w:p w14:paraId="0D6C9540">
      <w:pPr>
        <w:spacing w:line="480" w:lineRule="exact"/>
        <w:ind w:firstLine="480" w:firstLineChars="200"/>
        <w:rPr>
          <w:rFonts w:hint="eastAsia" w:ascii="仿宋" w:hAnsi="仿宋" w:eastAsia="仿宋" w:cs="仿宋"/>
          <w:sz w:val="24"/>
        </w:rPr>
      </w:pPr>
      <w:r>
        <w:rPr>
          <w:rFonts w:hint="eastAsia" w:ascii="仿宋" w:hAnsi="仿宋" w:eastAsia="仿宋" w:cs="仿宋"/>
          <w:sz w:val="24"/>
        </w:rPr>
        <w:t>委托方拥有设计单位所提交的全部设计文件完整的设计产权，包括但不限于使用权和收益权等，并有权用于设计项目。设计单位应保护委托方设计产权的完整性，未经委托方书面同意，不得将设计底稿、设计成品转作其他第三方使用。</w:t>
      </w:r>
    </w:p>
    <w:p w14:paraId="5D3638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九、委托方权利与义务</w:t>
      </w:r>
    </w:p>
    <w:p w14:paraId="0B7064C4">
      <w:pPr>
        <w:spacing w:line="480" w:lineRule="exact"/>
        <w:ind w:firstLine="480" w:firstLineChars="200"/>
        <w:rPr>
          <w:rFonts w:hint="eastAsia" w:ascii="仿宋" w:hAnsi="仿宋" w:eastAsia="仿宋" w:cs="仿宋"/>
          <w:sz w:val="24"/>
        </w:rPr>
      </w:pPr>
      <w:r>
        <w:rPr>
          <w:rFonts w:hint="eastAsia" w:ascii="仿宋" w:hAnsi="仿宋" w:eastAsia="仿宋" w:cs="仿宋"/>
          <w:sz w:val="24"/>
        </w:rPr>
        <w:t>1、委托方在规定的时间内向设计方提交基础资料及文件，并对其完整性、正确性及时效性负责。委托方不得要求设计方违反国家有关标准进行设计。委托方提交上述资料及文件超过规定期限5天以内，委托方按规定交付设计文件时间顺延；超过规定期限5天以上时，设计方员有权重新确定提交设计文件的时间，但需向委托方报批并经委托方书面同意。</w:t>
      </w:r>
    </w:p>
    <w:p w14:paraId="2CD2574F">
      <w:pPr>
        <w:spacing w:line="480" w:lineRule="exact"/>
        <w:ind w:firstLine="480" w:firstLineChars="200"/>
        <w:rPr>
          <w:rFonts w:hint="eastAsia" w:ascii="仿宋" w:hAnsi="仿宋" w:eastAsia="仿宋" w:cs="仿宋"/>
          <w:sz w:val="24"/>
        </w:rPr>
      </w:pPr>
      <w:r>
        <w:rPr>
          <w:rFonts w:hint="eastAsia" w:ascii="仿宋" w:hAnsi="仿宋" w:eastAsia="仿宋" w:cs="仿宋"/>
          <w:sz w:val="24"/>
        </w:rPr>
        <w:t>2、委托方应为派赴现场处理有关设计问题的工作人员提供必要的专人接待、现场信息提供等工作方便条件。</w:t>
      </w:r>
    </w:p>
    <w:p w14:paraId="74C06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十、设计方权利与义务</w:t>
      </w:r>
    </w:p>
    <w:p w14:paraId="49ADAFBD">
      <w:pPr>
        <w:spacing w:line="480" w:lineRule="exact"/>
        <w:ind w:firstLine="480" w:firstLineChars="200"/>
        <w:rPr>
          <w:rFonts w:hint="eastAsia" w:ascii="仿宋" w:hAnsi="仿宋" w:eastAsia="仿宋" w:cs="仿宋"/>
          <w:sz w:val="24"/>
        </w:rPr>
      </w:pPr>
      <w:r>
        <w:rPr>
          <w:rFonts w:hint="eastAsia" w:ascii="仿宋" w:hAnsi="仿宋" w:eastAsia="仿宋" w:cs="仿宋"/>
          <w:sz w:val="24"/>
        </w:rPr>
        <w:t>1、设计方应按国家规定的技术规范、标准、规程及委托方提出的设计要求进行工程设计，按合同规定的进度要求提交质量合格的设计资料，并对其真实性、完整性、客观性负责。通过委托方审核（或必要时通过相关机构的图审），且保证设计咨询、出图进度满足委托方的建设施工要求。</w:t>
      </w:r>
    </w:p>
    <w:p w14:paraId="50EA6C8D">
      <w:pPr>
        <w:spacing w:line="480" w:lineRule="exact"/>
        <w:ind w:firstLine="480" w:firstLineChars="200"/>
        <w:rPr>
          <w:rFonts w:hint="eastAsia" w:ascii="仿宋" w:hAnsi="仿宋" w:eastAsia="仿宋" w:cs="仿宋"/>
          <w:sz w:val="24"/>
        </w:rPr>
      </w:pPr>
      <w:r>
        <w:rPr>
          <w:rFonts w:hint="eastAsia" w:ascii="仿宋" w:hAnsi="仿宋" w:eastAsia="仿宋" w:cs="仿宋"/>
          <w:sz w:val="24"/>
        </w:rPr>
        <w:t>2、设计方采用的主要技术标准是：国家设计规范、行业设计标准及技术措施及委托书、设计任务书等。</w:t>
      </w:r>
    </w:p>
    <w:p w14:paraId="71558AD7">
      <w:pPr>
        <w:spacing w:line="480" w:lineRule="exact"/>
        <w:ind w:firstLine="480" w:firstLineChars="200"/>
        <w:rPr>
          <w:rFonts w:hint="eastAsia" w:ascii="仿宋" w:hAnsi="仿宋" w:eastAsia="仿宋" w:cs="仿宋"/>
          <w:sz w:val="24"/>
        </w:rPr>
      </w:pPr>
      <w:r>
        <w:rPr>
          <w:rFonts w:hint="eastAsia" w:ascii="仿宋" w:hAnsi="仿宋" w:eastAsia="仿宋" w:cs="仿宋"/>
          <w:sz w:val="24"/>
        </w:rPr>
        <w:t>3、设计方按委托方要求的内容、进度及份数向委托方交付资料及文件。</w:t>
      </w:r>
    </w:p>
    <w:p w14:paraId="39F998EA">
      <w:pPr>
        <w:spacing w:line="480" w:lineRule="exact"/>
        <w:ind w:firstLine="480" w:firstLineChars="200"/>
        <w:rPr>
          <w:rFonts w:hint="eastAsia" w:ascii="仿宋" w:hAnsi="仿宋" w:eastAsia="仿宋" w:cs="仿宋"/>
          <w:sz w:val="24"/>
        </w:rPr>
      </w:pPr>
      <w:r>
        <w:rPr>
          <w:rFonts w:hint="eastAsia" w:ascii="仿宋" w:hAnsi="仿宋" w:eastAsia="仿宋" w:cs="仿宋"/>
          <w:sz w:val="24"/>
        </w:rPr>
        <w:t>4、设计方交付设计资料及文件后，按规定参加有关的设计审查，并根据审查结论负责对不超出原定范围的内容做必要调整补充。设计方按合同规定时限交付设计资料及文件，项目开始施工后，负责向委托方及施工单位进行设计交底、处理有关设计问题和参加竣工验收。</w:t>
      </w:r>
    </w:p>
    <w:p w14:paraId="0F2B522B">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5、工程实施过程中，设计方必须按委托方要求，派相关人员进行图纸会审、设计变更等且派出人员应具备相关专业技术能力，及时处理设计变更。  </w:t>
      </w:r>
    </w:p>
    <w:p w14:paraId="699C7919">
      <w:pPr>
        <w:spacing w:line="480" w:lineRule="exact"/>
        <w:ind w:firstLine="480" w:firstLineChars="200"/>
        <w:rPr>
          <w:rFonts w:hint="eastAsia" w:ascii="仿宋" w:hAnsi="仿宋" w:eastAsia="仿宋" w:cs="仿宋"/>
          <w:sz w:val="24"/>
        </w:rPr>
      </w:pPr>
      <w:r>
        <w:rPr>
          <w:rFonts w:hint="eastAsia" w:ascii="仿宋" w:hAnsi="仿宋" w:eastAsia="仿宋" w:cs="仿宋"/>
          <w:sz w:val="24"/>
        </w:rPr>
        <w:t>6、如政府有关部门、图审机构、委托方要求设计方对任何一项工作成果进行修改的，设计方应按政府有关部门、图审机构、委托方意见予以修改并按期向政府有关部门、图审机构、委托方提交最后工作成果。如设计方不同意政府有关部门、图审机构、委托方意见或逾期未提交经修改的工作成果，或经要求修改而经 5 次修改仍未达到政府有关部门认可及委托方确认的，委托方有权解除合同。</w:t>
      </w:r>
    </w:p>
    <w:p w14:paraId="286E9718">
      <w:pPr>
        <w:spacing w:line="480" w:lineRule="exact"/>
        <w:ind w:firstLine="480" w:firstLineChars="200"/>
        <w:rPr>
          <w:rFonts w:hint="eastAsia" w:ascii="仿宋" w:hAnsi="仿宋" w:eastAsia="仿宋" w:cs="仿宋"/>
          <w:sz w:val="24"/>
        </w:rPr>
      </w:pPr>
      <w:r>
        <w:rPr>
          <w:rFonts w:hint="eastAsia" w:ascii="仿宋" w:hAnsi="仿宋" w:eastAsia="仿宋" w:cs="仿宋"/>
          <w:sz w:val="24"/>
        </w:rPr>
        <w:t>7、设计方应做好施工现场服务，并负责解决施工过程中出现的设计问题：</w:t>
      </w:r>
    </w:p>
    <w:p w14:paraId="565B26F6">
      <w:pPr>
        <w:spacing w:line="480" w:lineRule="exact"/>
        <w:ind w:firstLine="480" w:firstLineChars="200"/>
        <w:rPr>
          <w:rFonts w:hint="eastAsia" w:ascii="仿宋" w:hAnsi="仿宋" w:eastAsia="仿宋" w:cs="仿宋"/>
          <w:sz w:val="24"/>
        </w:rPr>
      </w:pPr>
      <w:r>
        <w:rPr>
          <w:rFonts w:hint="eastAsia" w:ascii="仿宋" w:hAnsi="仿宋" w:eastAsia="仿宋" w:cs="仿宋"/>
          <w:sz w:val="24"/>
        </w:rPr>
        <w:t>（1）开工前在委托方指定的时间内，做好设计文件的技术交底工作和现场控制点的交接工作；</w:t>
      </w:r>
    </w:p>
    <w:p w14:paraId="2222444C">
      <w:pPr>
        <w:spacing w:line="480" w:lineRule="exact"/>
        <w:ind w:firstLine="480" w:firstLineChars="200"/>
        <w:rPr>
          <w:rFonts w:hint="eastAsia" w:ascii="仿宋" w:hAnsi="仿宋" w:eastAsia="仿宋" w:cs="仿宋"/>
          <w:sz w:val="24"/>
        </w:rPr>
      </w:pPr>
      <w:r>
        <w:rPr>
          <w:rFonts w:hint="eastAsia" w:ascii="仿宋" w:hAnsi="仿宋" w:eastAsia="仿宋" w:cs="仿宋"/>
          <w:sz w:val="24"/>
        </w:rPr>
        <w:t>（2）在工程施工过程中及时参与工程关键部位的验收；在委托方规定的时间内及时处理与解决施工中与设计有关的问题；</w:t>
      </w:r>
    </w:p>
    <w:p w14:paraId="558C33EC">
      <w:pPr>
        <w:spacing w:line="480" w:lineRule="exact"/>
        <w:ind w:firstLine="480" w:firstLineChars="200"/>
        <w:rPr>
          <w:rFonts w:hint="eastAsia" w:ascii="仿宋" w:hAnsi="仿宋" w:eastAsia="仿宋" w:cs="仿宋"/>
          <w:sz w:val="24"/>
        </w:rPr>
      </w:pPr>
      <w:r>
        <w:rPr>
          <w:rFonts w:hint="eastAsia" w:ascii="仿宋" w:hAnsi="仿宋" w:eastAsia="仿宋" w:cs="仿宋"/>
          <w:sz w:val="24"/>
        </w:rPr>
        <w:t>（3）在委托方规定的时间内积极配合委托方对施工及设计方案进行优化设计；</w:t>
      </w:r>
    </w:p>
    <w:p w14:paraId="6FDA6348">
      <w:pPr>
        <w:spacing w:line="480" w:lineRule="exact"/>
        <w:ind w:firstLine="480" w:firstLineChars="200"/>
        <w:rPr>
          <w:rFonts w:hint="eastAsia" w:ascii="仿宋" w:hAnsi="仿宋" w:eastAsia="仿宋" w:cs="仿宋"/>
          <w:sz w:val="24"/>
        </w:rPr>
      </w:pPr>
      <w:r>
        <w:rPr>
          <w:rFonts w:hint="eastAsia" w:ascii="仿宋" w:hAnsi="仿宋" w:eastAsia="仿宋" w:cs="仿宋"/>
          <w:sz w:val="24"/>
        </w:rPr>
        <w:t>（4）参与工程质量事故分析，并对因设计造成的质量事故，提出相应的技术处理方案；</w:t>
      </w:r>
    </w:p>
    <w:p w14:paraId="727F0BF7">
      <w:pPr>
        <w:spacing w:line="480" w:lineRule="exact"/>
        <w:ind w:firstLine="480" w:firstLineChars="200"/>
        <w:rPr>
          <w:rFonts w:hint="eastAsia" w:ascii="仿宋" w:hAnsi="仿宋" w:eastAsia="仿宋" w:cs="仿宋"/>
          <w:sz w:val="24"/>
        </w:rPr>
      </w:pPr>
      <w:r>
        <w:rPr>
          <w:rFonts w:hint="eastAsia" w:ascii="仿宋" w:hAnsi="仿宋" w:eastAsia="仿宋" w:cs="仿宋"/>
          <w:sz w:val="24"/>
        </w:rPr>
        <w:t>（5）在本工程的交工、竣工验收中，配合委托方对施工图进行审核及办理后期手续。若委托方在工作中发现设计代表不称职或有违法行为时，有权提出更换，设计方应在委托方提出更换通知的7天内完成更换工作并使委托方满意。</w:t>
      </w:r>
    </w:p>
    <w:p w14:paraId="1A3139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11" w:name="_Toc19515393"/>
      <w:r>
        <w:rPr>
          <w:rFonts w:hint="default" w:ascii="仿宋" w:hAnsi="仿宋" w:eastAsia="仿宋" w:cs="仿宋"/>
          <w:b/>
          <w:bCs/>
          <w:sz w:val="24"/>
          <w:szCs w:val="24"/>
          <w:lang w:val="en-US" w:eastAsia="zh-CN"/>
        </w:rPr>
        <w:t>十一、合同组成</w:t>
      </w:r>
      <w:bookmarkEnd w:id="11"/>
    </w:p>
    <w:p w14:paraId="77E13737">
      <w:pPr>
        <w:spacing w:line="480" w:lineRule="exact"/>
        <w:ind w:firstLine="480" w:firstLineChars="200"/>
        <w:rPr>
          <w:rFonts w:hint="eastAsia" w:ascii="仿宋" w:hAnsi="仿宋" w:eastAsia="仿宋" w:cs="仿宋"/>
          <w:sz w:val="24"/>
        </w:rPr>
      </w:pPr>
      <w:r>
        <w:rPr>
          <w:rFonts w:hint="eastAsia" w:ascii="仿宋" w:hAnsi="仿宋" w:eastAsia="仿宋" w:cs="仿宋"/>
          <w:sz w:val="24"/>
        </w:rPr>
        <w:t>1、成交通知书</w:t>
      </w:r>
    </w:p>
    <w:p w14:paraId="1A828B30">
      <w:pPr>
        <w:spacing w:line="480" w:lineRule="exact"/>
        <w:ind w:firstLine="480" w:firstLineChars="200"/>
        <w:rPr>
          <w:rFonts w:hint="eastAsia" w:ascii="仿宋" w:hAnsi="仿宋" w:eastAsia="仿宋" w:cs="仿宋"/>
          <w:sz w:val="24"/>
        </w:rPr>
      </w:pPr>
      <w:r>
        <w:rPr>
          <w:rFonts w:hint="eastAsia" w:ascii="仿宋" w:hAnsi="仿宋" w:eastAsia="仿宋" w:cs="仿宋"/>
          <w:sz w:val="24"/>
        </w:rPr>
        <w:t>2、合同文件</w:t>
      </w:r>
    </w:p>
    <w:p w14:paraId="51D7CCEF">
      <w:pPr>
        <w:spacing w:line="480" w:lineRule="exact"/>
        <w:ind w:firstLine="480" w:firstLineChars="200"/>
        <w:rPr>
          <w:rFonts w:hint="eastAsia" w:ascii="仿宋" w:hAnsi="仿宋" w:eastAsia="仿宋" w:cs="仿宋"/>
          <w:sz w:val="24"/>
        </w:rPr>
      </w:pPr>
      <w:r>
        <w:rPr>
          <w:rFonts w:hint="eastAsia" w:ascii="仿宋" w:hAnsi="仿宋" w:eastAsia="仿宋" w:cs="仿宋"/>
          <w:sz w:val="24"/>
        </w:rPr>
        <w:t>3、国家相关规范及标准</w:t>
      </w:r>
    </w:p>
    <w:p w14:paraId="15E7F0FB">
      <w:pPr>
        <w:spacing w:line="480" w:lineRule="exact"/>
        <w:ind w:firstLine="480" w:firstLineChars="200"/>
        <w:rPr>
          <w:rFonts w:hint="eastAsia" w:ascii="仿宋" w:hAnsi="仿宋" w:eastAsia="仿宋" w:cs="仿宋"/>
          <w:sz w:val="24"/>
        </w:rPr>
      </w:pPr>
      <w:r>
        <w:rPr>
          <w:rFonts w:hint="eastAsia" w:ascii="仿宋" w:hAnsi="仿宋" w:eastAsia="仿宋" w:cs="仿宋"/>
          <w:sz w:val="24"/>
        </w:rPr>
        <w:t>4、竞争性磋商文件</w:t>
      </w:r>
    </w:p>
    <w:p w14:paraId="4E68301E">
      <w:pPr>
        <w:spacing w:line="480" w:lineRule="exact"/>
        <w:ind w:firstLine="480" w:firstLineChars="200"/>
        <w:rPr>
          <w:rFonts w:hint="eastAsia" w:ascii="仿宋" w:hAnsi="仿宋" w:eastAsia="仿宋" w:cs="仿宋"/>
          <w:sz w:val="24"/>
        </w:rPr>
      </w:pPr>
      <w:r>
        <w:rPr>
          <w:rFonts w:hint="eastAsia" w:ascii="仿宋" w:hAnsi="仿宋" w:eastAsia="仿宋" w:cs="仿宋"/>
          <w:sz w:val="24"/>
        </w:rPr>
        <w:t>5、成交供应商的响应文件</w:t>
      </w:r>
    </w:p>
    <w:p w14:paraId="574B0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12" w:name="_Toc19515394"/>
      <w:r>
        <w:rPr>
          <w:rFonts w:hint="default" w:ascii="仿宋" w:hAnsi="仿宋" w:eastAsia="仿宋" w:cs="仿宋"/>
          <w:b/>
          <w:bCs/>
          <w:sz w:val="24"/>
          <w:szCs w:val="24"/>
          <w:lang w:val="en-US" w:eastAsia="zh-CN"/>
        </w:rPr>
        <w:t>十二、解决争议的方法</w:t>
      </w:r>
      <w:bookmarkEnd w:id="12"/>
    </w:p>
    <w:p w14:paraId="3C5F91D4">
      <w:pPr>
        <w:spacing w:line="480" w:lineRule="exact"/>
        <w:ind w:firstLine="480" w:firstLineChars="200"/>
        <w:rPr>
          <w:rFonts w:hint="eastAsia" w:ascii="仿宋" w:hAnsi="仿宋" w:eastAsia="仿宋" w:cs="仿宋"/>
          <w:sz w:val="24"/>
        </w:rPr>
      </w:pPr>
      <w:bookmarkStart w:id="13" w:name="_Toc19515395"/>
      <w:r>
        <w:rPr>
          <w:rFonts w:hint="eastAsia" w:ascii="仿宋" w:hAnsi="仿宋" w:eastAsia="仿宋" w:cs="仿宋"/>
          <w:sz w:val="24"/>
        </w:rPr>
        <w:t xml:space="preserve">本合同在履行过程中发生的任何争议，应由甲、乙双方友好协商解决，协商不成的，甲乙双方任意一方有权向甲方所在地人民法院提起诉讼。 </w:t>
      </w:r>
    </w:p>
    <w:p w14:paraId="0C4B91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十三、合同生效及其它</w:t>
      </w:r>
      <w:bookmarkEnd w:id="13"/>
    </w:p>
    <w:p w14:paraId="58292CA1">
      <w:pPr>
        <w:spacing w:line="480" w:lineRule="exact"/>
        <w:ind w:firstLine="480" w:firstLineChars="200"/>
        <w:rPr>
          <w:rFonts w:hint="eastAsia" w:ascii="仿宋" w:hAnsi="仿宋" w:eastAsia="仿宋" w:cs="仿宋"/>
          <w:sz w:val="24"/>
        </w:rPr>
      </w:pPr>
      <w:r>
        <w:rPr>
          <w:rFonts w:hint="eastAsia" w:ascii="仿宋" w:hAnsi="仿宋" w:eastAsia="仿宋" w:cs="仿宋"/>
          <w:sz w:val="24"/>
        </w:rPr>
        <w:t>1、合同签订前，乙方须向甲方提交履约保证金缴纳凭据。</w:t>
      </w:r>
    </w:p>
    <w:p w14:paraId="0066F51B">
      <w:pPr>
        <w:spacing w:line="480" w:lineRule="exact"/>
        <w:ind w:firstLine="480" w:firstLineChars="200"/>
        <w:rPr>
          <w:rFonts w:hint="eastAsia" w:ascii="仿宋" w:hAnsi="仿宋" w:eastAsia="仿宋" w:cs="仿宋"/>
          <w:sz w:val="24"/>
        </w:rPr>
      </w:pPr>
      <w:r>
        <w:rPr>
          <w:rFonts w:hint="eastAsia" w:ascii="仿宋" w:hAnsi="仿宋" w:eastAsia="仿宋" w:cs="仿宋"/>
          <w:sz w:val="24"/>
        </w:rPr>
        <w:t>2、合同未尽事宜、由甲、乙双方协商，作为合同补充，与原合同具有同等法律效力。</w:t>
      </w:r>
    </w:p>
    <w:p w14:paraId="0566533C">
      <w:pPr>
        <w:spacing w:line="480" w:lineRule="exact"/>
        <w:ind w:firstLine="480" w:firstLineChars="200"/>
        <w:rPr>
          <w:rFonts w:hint="eastAsia" w:ascii="仿宋" w:hAnsi="仿宋" w:eastAsia="仿宋" w:cs="仿宋"/>
          <w:sz w:val="24"/>
        </w:rPr>
      </w:pPr>
      <w:r>
        <w:rPr>
          <w:rFonts w:hint="eastAsia" w:ascii="仿宋" w:hAnsi="仿宋" w:eastAsia="仿宋" w:cs="仿宋"/>
          <w:sz w:val="24"/>
        </w:rPr>
        <w:t>3、本合同文本一式</w:t>
      </w:r>
      <w:r>
        <w:rPr>
          <w:rFonts w:hint="eastAsia" w:ascii="仿宋" w:hAnsi="仿宋" w:eastAsia="仿宋" w:cs="仿宋"/>
          <w:sz w:val="24"/>
          <w:u w:val="single"/>
        </w:rPr>
        <w:t>伍</w:t>
      </w:r>
      <w:r>
        <w:rPr>
          <w:rFonts w:hint="eastAsia" w:ascii="仿宋" w:hAnsi="仿宋" w:eastAsia="仿宋" w:cs="仿宋"/>
          <w:sz w:val="24"/>
        </w:rPr>
        <w:t>份，具有同等法律效力，甲方执</w:t>
      </w:r>
      <w:r>
        <w:rPr>
          <w:rFonts w:hint="eastAsia" w:ascii="仿宋" w:hAnsi="仿宋" w:eastAsia="仿宋" w:cs="仿宋"/>
          <w:sz w:val="24"/>
          <w:u w:val="single"/>
        </w:rPr>
        <w:t>叁</w:t>
      </w:r>
      <w:r>
        <w:rPr>
          <w:rFonts w:hint="eastAsia" w:ascii="仿宋" w:hAnsi="仿宋" w:eastAsia="仿宋" w:cs="仿宋"/>
          <w:sz w:val="24"/>
        </w:rPr>
        <w:t>份、乙方执</w:t>
      </w:r>
      <w:r>
        <w:rPr>
          <w:rFonts w:hint="eastAsia" w:ascii="仿宋" w:hAnsi="仿宋" w:eastAsia="仿宋" w:cs="仿宋"/>
          <w:sz w:val="24"/>
          <w:u w:val="single"/>
        </w:rPr>
        <w:t>贰</w:t>
      </w:r>
      <w:r>
        <w:rPr>
          <w:rFonts w:hint="eastAsia" w:ascii="仿宋" w:hAnsi="仿宋" w:eastAsia="仿宋" w:cs="仿宋"/>
          <w:sz w:val="24"/>
        </w:rPr>
        <w:t>份。</w:t>
      </w:r>
    </w:p>
    <w:p w14:paraId="00201295">
      <w:pPr>
        <w:spacing w:line="480" w:lineRule="exact"/>
        <w:ind w:firstLine="480" w:firstLineChars="200"/>
        <w:rPr>
          <w:rFonts w:hint="eastAsia" w:ascii="仿宋" w:hAnsi="仿宋" w:eastAsia="仿宋" w:cs="仿宋"/>
          <w:sz w:val="24"/>
        </w:rPr>
      </w:pPr>
      <w:r>
        <w:rPr>
          <w:rFonts w:hint="eastAsia" w:ascii="仿宋" w:hAnsi="仿宋" w:eastAsia="仿宋" w:cs="仿宋"/>
          <w:sz w:val="24"/>
        </w:rPr>
        <w:t>4、合同经甲乙双方盖章、签字后生效，合同签订地为</w:t>
      </w:r>
      <w:r>
        <w:rPr>
          <w:rFonts w:hint="default" w:ascii="仿宋" w:hAnsi="仿宋" w:eastAsia="仿宋" w:cs="仿宋"/>
          <w:sz w:val="24"/>
          <w:lang w:val="en-US" w:eastAsia="zh-CN"/>
        </w:rPr>
        <w:t>陕西中医药大学第二附属医院</w:t>
      </w:r>
      <w:r>
        <w:rPr>
          <w:rFonts w:hint="eastAsia" w:ascii="仿宋" w:hAnsi="仿宋" w:eastAsia="仿宋" w:cs="仿宋"/>
          <w:sz w:val="24"/>
          <w:lang w:val="en-US" w:eastAsia="zh-CN"/>
        </w:rPr>
        <w:t>西咸院区</w:t>
      </w:r>
      <w:r>
        <w:rPr>
          <w:rFonts w:hint="eastAsia" w:ascii="仿宋" w:hAnsi="仿宋" w:eastAsia="仿宋" w:cs="仿宋"/>
          <w:sz w:val="24"/>
        </w:rPr>
        <w:t>。</w:t>
      </w:r>
    </w:p>
    <w:p w14:paraId="41F1F955">
      <w:pPr>
        <w:spacing w:line="480" w:lineRule="exact"/>
        <w:ind w:firstLine="480" w:firstLineChars="200"/>
        <w:rPr>
          <w:rFonts w:hint="eastAsia" w:ascii="仿宋" w:hAnsi="仿宋" w:eastAsia="仿宋" w:cs="仿宋"/>
          <w:sz w:val="24"/>
        </w:rPr>
      </w:pPr>
      <w:r>
        <w:rPr>
          <w:rFonts w:hint="eastAsia" w:ascii="仿宋" w:hAnsi="仿宋" w:eastAsia="仿宋" w:cs="仿宋"/>
          <w:sz w:val="24"/>
        </w:rPr>
        <w:t>5、生效时间：   年  月  日</w:t>
      </w:r>
    </w:p>
    <w:p w14:paraId="16012320">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（本页以下无正文）</w:t>
      </w:r>
    </w:p>
    <w:p w14:paraId="1FAF79CB">
      <w:pPr>
        <w:numPr>
          <w:ilvl w:val="0"/>
          <w:numId w:val="0"/>
        </w:numPr>
        <w:spacing w:line="480" w:lineRule="exact"/>
        <w:ind w:firstLine="0" w:firstLineChars="0"/>
        <w:rPr>
          <w:rFonts w:hint="eastAsia" w:ascii="宋体" w:hAnsi="宋体" w:cs="宋体"/>
          <w:b/>
          <w:bCs/>
          <w:sz w:val="24"/>
        </w:rPr>
      </w:pPr>
    </w:p>
    <w:p w14:paraId="39D7FBA3">
      <w:pPr>
        <w:numPr>
          <w:ilvl w:val="0"/>
          <w:numId w:val="0"/>
        </w:numPr>
        <w:spacing w:line="480" w:lineRule="exact"/>
        <w:ind w:firstLine="0" w:firstLineChars="0"/>
        <w:rPr>
          <w:rFonts w:hint="eastAsia" w:ascii="宋体" w:hAnsi="宋体" w:cs="宋体"/>
          <w:b/>
          <w:bCs/>
          <w:sz w:val="24"/>
        </w:rPr>
      </w:pPr>
    </w:p>
    <w:p w14:paraId="3FE2F981">
      <w:pPr>
        <w:numPr>
          <w:ilvl w:val="0"/>
          <w:numId w:val="0"/>
        </w:numPr>
        <w:spacing w:line="480" w:lineRule="exact"/>
        <w:ind w:firstLine="0" w:firstLineChars="0"/>
        <w:rPr>
          <w:rFonts w:hint="eastAsia" w:ascii="宋体" w:hAnsi="宋体" w:cs="宋体"/>
          <w:b/>
          <w:bCs/>
          <w:sz w:val="24"/>
        </w:rPr>
      </w:pPr>
    </w:p>
    <w:p w14:paraId="2DB018A0">
      <w:pPr>
        <w:numPr>
          <w:ilvl w:val="0"/>
          <w:numId w:val="0"/>
        </w:numPr>
        <w:spacing w:line="480" w:lineRule="exact"/>
        <w:ind w:firstLine="0" w:firstLineChars="0"/>
        <w:rPr>
          <w:rFonts w:hint="eastAsia" w:ascii="宋体" w:hAnsi="宋体" w:cs="宋体"/>
          <w:b/>
          <w:bCs/>
          <w:sz w:val="24"/>
        </w:rPr>
      </w:pPr>
    </w:p>
    <w:p w14:paraId="3215833F">
      <w:pPr>
        <w:numPr>
          <w:ilvl w:val="0"/>
          <w:numId w:val="0"/>
        </w:numPr>
        <w:spacing w:line="480" w:lineRule="exact"/>
        <w:ind w:firstLine="0" w:firstLineChars="0"/>
        <w:rPr>
          <w:rFonts w:hint="eastAsia" w:ascii="宋体" w:hAnsi="宋体" w:cs="宋体"/>
          <w:b/>
          <w:bCs/>
          <w:sz w:val="24"/>
        </w:rPr>
      </w:pPr>
    </w:p>
    <w:p w14:paraId="4F71D93E">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甲方：陕西中医药大学第二附属医院    乙方：</w:t>
      </w:r>
      <w:r>
        <w:rPr>
          <w:rFonts w:hint="eastAsia" w:ascii="黑体" w:hAnsi="黑体" w:eastAsia="黑体" w:cs="黑体"/>
          <w:b w:val="0"/>
          <w:bCs w:val="0"/>
          <w:sz w:val="24"/>
          <w:highlight w:val="none"/>
          <w:lang w:val="en-US" w:eastAsia="zh-CN" w:bidi="ar-SA"/>
        </w:rPr>
        <w:t xml:space="preserve"> </w:t>
      </w:r>
    </w:p>
    <w:p w14:paraId="4CD0606C">
      <w:pPr>
        <w:shd w:val="clear" w:color="auto" w:fill="FFFFFF"/>
        <w:adjustRightInd w:val="0"/>
        <w:spacing w:line="520" w:lineRule="exact"/>
        <w:jc w:val="left"/>
        <w:rPr>
          <w:rFonts w:hint="eastAsia" w:ascii="宋体" w:eastAsia="宋体" w:cs="宋体"/>
          <w:b w:val="0"/>
          <w:bCs w:val="0"/>
          <w:color w:val="000000"/>
          <w:sz w:val="24"/>
          <w:highlight w:val="none"/>
          <w:lang w:val="zh-CN" w:eastAsia="zh-CN" w:bidi="ar-SA"/>
        </w:rPr>
      </w:pPr>
    </w:p>
    <w:p w14:paraId="7990DBC4">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法定代表人（签盖）：                 法定代表人（签盖）：</w:t>
      </w:r>
    </w:p>
    <w:p w14:paraId="446B6ADF">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D9E0CB3">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 xml:space="preserve">授权委托人：                        </w:t>
      </w:r>
      <w:r>
        <w:rPr>
          <w:rFonts w:hint="eastAsia" w:ascii="黑体" w:hAnsi="黑体" w:eastAsia="黑体" w:cs="黑体"/>
          <w:b w:val="0"/>
          <w:bCs w:val="0"/>
          <w:color w:val="000000"/>
          <w:sz w:val="24"/>
          <w:highlight w:val="none"/>
          <w:lang w:val="en-US" w:eastAsia="zh-CN" w:bidi="ar-SA"/>
        </w:rPr>
        <w:t xml:space="preserve"> </w:t>
      </w:r>
      <w:r>
        <w:rPr>
          <w:rFonts w:hint="eastAsia" w:ascii="黑体" w:hAnsi="黑体" w:eastAsia="黑体" w:cs="黑体"/>
          <w:b w:val="0"/>
          <w:bCs w:val="0"/>
          <w:color w:val="000000"/>
          <w:sz w:val="24"/>
          <w:highlight w:val="none"/>
          <w:lang w:val="zh-CN" w:eastAsia="zh-CN" w:bidi="ar-SA"/>
        </w:rPr>
        <w:t>授权委托人：</w:t>
      </w:r>
    </w:p>
    <w:p w14:paraId="61C14273">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33CD7760">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经办人：</w:t>
      </w:r>
    </w:p>
    <w:p w14:paraId="5A00095A">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9485259">
      <w:pPr>
        <w:shd w:val="clear" w:color="auto" w:fill="FFFFFF"/>
        <w:adjustRightInd w:val="0"/>
        <w:spacing w:line="520" w:lineRule="exact"/>
        <w:ind w:firstLine="480" w:firstLineChars="200"/>
        <w:jc w:val="left"/>
        <w:rPr>
          <w:b w:val="0"/>
          <w:bCs w:val="0"/>
        </w:rPr>
      </w:pPr>
      <w:r>
        <w:rPr>
          <w:rFonts w:hint="eastAsia" w:ascii="黑体" w:hAnsi="黑体" w:eastAsia="黑体" w:cs="黑体"/>
          <w:b w:val="0"/>
          <w:bCs w:val="0"/>
          <w:color w:val="000000"/>
          <w:sz w:val="24"/>
          <w:highlight w:val="none"/>
          <w:lang w:val="zh-CN" w:eastAsia="zh-CN" w:bidi="ar-SA"/>
        </w:rPr>
        <w:t>年     月     日                          年     月     日</w:t>
      </w:r>
    </w:p>
    <w:p w14:paraId="6BB7DE9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16CDC82A">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5A44BD41">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61BBA4B0">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530710EF">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2D1B5DD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SZRFYZB202412-218</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49795C0">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9313BD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default" w:ascii="宋体" w:hAnsi="宋体" w:eastAsia="宋体" w:cs="宋体"/>
          <w:color w:val="000000"/>
          <w:kern w:val="0"/>
          <w:sz w:val="52"/>
          <w:szCs w:val="52"/>
          <w:highlight w:val="none"/>
          <w:lang w:val="en-US"/>
        </w:rPr>
      </w:pPr>
      <w:r>
        <w:rPr>
          <w:rStyle w:val="32"/>
          <w:rFonts w:hint="eastAsia" w:ascii="宋体" w:hAnsi="宋体" w:cs="宋体"/>
          <w:b/>
          <w:sz w:val="52"/>
          <w:szCs w:val="52"/>
          <w:highlight w:val="none"/>
          <w:lang w:val="en-US" w:eastAsia="zh-CN"/>
        </w:rPr>
        <w:t>新增维修改造工程设计单位项目</w:t>
      </w:r>
    </w:p>
    <w:p w14:paraId="2259B336">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34DDBDC0">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50DDD6EA">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199F31C4">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25418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eastAsia="zh-CN"/>
        </w:rPr>
      </w:pPr>
    </w:p>
    <w:p w14:paraId="0B477541">
      <w:pPr>
        <w:pStyle w:val="2"/>
        <w:rPr>
          <w:rStyle w:val="32"/>
          <w:rFonts w:hint="eastAsia" w:ascii="宋体" w:hAnsi="宋体" w:eastAsia="宋体" w:cs="宋体"/>
          <w:color w:val="000000"/>
          <w:kern w:val="0"/>
          <w:sz w:val="24"/>
          <w:szCs w:val="24"/>
          <w:highlight w:val="none"/>
          <w:lang w:eastAsia="zh-CN"/>
        </w:rPr>
      </w:pPr>
    </w:p>
    <w:p w14:paraId="40EC48A6">
      <w:pPr>
        <w:pStyle w:val="2"/>
        <w:rPr>
          <w:rStyle w:val="32"/>
          <w:rFonts w:hint="eastAsia" w:ascii="宋体" w:hAnsi="宋体" w:eastAsia="宋体" w:cs="宋体"/>
          <w:color w:val="000000"/>
          <w:kern w:val="0"/>
          <w:sz w:val="24"/>
          <w:szCs w:val="24"/>
          <w:highlight w:val="none"/>
          <w:lang w:eastAsia="zh-CN"/>
        </w:rPr>
      </w:pPr>
    </w:p>
    <w:p w14:paraId="31064C2A">
      <w:pPr>
        <w:pStyle w:val="2"/>
        <w:rPr>
          <w:rStyle w:val="32"/>
          <w:rFonts w:hint="eastAsia" w:ascii="宋体" w:hAnsi="宋体" w:eastAsia="宋体" w:cs="宋体"/>
          <w:color w:val="000000"/>
          <w:kern w:val="0"/>
          <w:sz w:val="24"/>
          <w:szCs w:val="24"/>
          <w:highlight w:val="none"/>
          <w:lang w:eastAsia="zh-CN"/>
        </w:rPr>
      </w:pPr>
    </w:p>
    <w:p w14:paraId="084DF1AA">
      <w:pPr>
        <w:pStyle w:val="2"/>
        <w:rPr>
          <w:rStyle w:val="32"/>
          <w:rFonts w:hint="eastAsia" w:ascii="宋体" w:hAnsi="宋体" w:eastAsia="宋体" w:cs="宋体"/>
          <w:color w:val="000000"/>
          <w:kern w:val="0"/>
          <w:sz w:val="24"/>
          <w:szCs w:val="24"/>
          <w:highlight w:val="none"/>
          <w:lang w:eastAsia="zh-CN"/>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新增维修改造工程设计单位项目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SZRFYZB202412-218</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11AD3F3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04370DEC">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14" w:name="_Toc194663926"/>
      <w:bookmarkStart w:id="15" w:name="_Toc193126889"/>
      <w:bookmarkStart w:id="16" w:name="_Toc188808840"/>
      <w:bookmarkStart w:id="17"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新增维修改造工程设计单位项目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SZRFYZB202412-218</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364"/>
        <w:gridCol w:w="3365"/>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gridSpan w:val="2"/>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0593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18" w:type="dxa"/>
            <w:vMerge w:val="restart"/>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3364" w:type="dxa"/>
            <w:noWrap w:val="0"/>
            <w:vAlign w:val="center"/>
          </w:tcPr>
          <w:p w14:paraId="3CF94170">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bCs/>
                <w:sz w:val="24"/>
                <w:szCs w:val="24"/>
                <w:highlight w:val="none"/>
                <w:lang w:val="en-US" w:eastAsia="zh-CN"/>
              </w:rPr>
            </w:pPr>
            <w:r>
              <w:rPr>
                <w:rStyle w:val="32"/>
                <w:rFonts w:hint="eastAsia" w:ascii="仿宋" w:hAnsi="仿宋" w:eastAsia="仿宋" w:cs="仿宋"/>
                <w:sz w:val="24"/>
                <w:szCs w:val="24"/>
                <w:highlight w:val="none"/>
                <w:vertAlign w:val="baseline"/>
                <w:lang w:val="en-US" w:eastAsia="zh-CN"/>
              </w:rPr>
              <w:t>5万元≤项目最高限价＜20万元的项目</w:t>
            </w:r>
          </w:p>
        </w:tc>
        <w:tc>
          <w:tcPr>
            <w:tcW w:w="3365" w:type="dxa"/>
            <w:noWrap w:val="0"/>
            <w:vAlign w:val="center"/>
          </w:tcPr>
          <w:p w14:paraId="394A874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收费费率：</w:t>
            </w:r>
          </w:p>
        </w:tc>
      </w:tr>
      <w:tr w14:paraId="0330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18" w:type="dxa"/>
            <w:vMerge w:val="continue"/>
            <w:noWrap w:val="0"/>
            <w:vAlign w:val="center"/>
          </w:tcPr>
          <w:p w14:paraId="0AEBF0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pPr>
          </w:p>
        </w:tc>
        <w:tc>
          <w:tcPr>
            <w:tcW w:w="3364" w:type="dxa"/>
            <w:noWrap w:val="0"/>
            <w:vAlign w:val="center"/>
          </w:tcPr>
          <w:p w14:paraId="5683A809">
            <w:pPr>
              <w:keepNext w:val="0"/>
              <w:keepLines w:val="0"/>
              <w:pageBreakBefore w:val="0"/>
              <w:widowControl w:val="0"/>
              <w:kinsoku/>
              <w:overflowPunct/>
              <w:topLinePunct w:val="0"/>
              <w:bidi w:val="0"/>
              <w:spacing w:line="240" w:lineRule="auto"/>
              <w:ind w:right="0" w:rightChars="0"/>
              <w:jc w:val="center"/>
              <w:textAlignment w:val="auto"/>
            </w:pPr>
            <w:r>
              <w:rPr>
                <w:rStyle w:val="32"/>
                <w:rFonts w:hint="eastAsia" w:ascii="仿宋" w:hAnsi="仿宋" w:eastAsia="仿宋" w:cs="仿宋"/>
                <w:sz w:val="24"/>
                <w:szCs w:val="24"/>
                <w:highlight w:val="none"/>
                <w:vertAlign w:val="baseline"/>
                <w:lang w:val="en-US" w:eastAsia="zh-CN"/>
              </w:rPr>
              <w:t>20万元≤项目最高限价＜50万元的项目</w:t>
            </w:r>
          </w:p>
        </w:tc>
        <w:tc>
          <w:tcPr>
            <w:tcW w:w="3365" w:type="dxa"/>
            <w:noWrap w:val="0"/>
            <w:vAlign w:val="center"/>
          </w:tcPr>
          <w:p w14:paraId="2F4102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收费费率：</w:t>
            </w:r>
          </w:p>
        </w:tc>
      </w:tr>
      <w:tr w14:paraId="48CD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18" w:type="dxa"/>
            <w:vMerge w:val="continue"/>
            <w:noWrap w:val="0"/>
            <w:vAlign w:val="center"/>
          </w:tcPr>
          <w:p w14:paraId="10C5950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p>
        </w:tc>
        <w:tc>
          <w:tcPr>
            <w:tcW w:w="3364" w:type="dxa"/>
            <w:noWrap w:val="0"/>
            <w:vAlign w:val="center"/>
          </w:tcPr>
          <w:p w14:paraId="323F6CBD">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bCs/>
                <w:sz w:val="24"/>
                <w:szCs w:val="24"/>
                <w:highlight w:val="none"/>
              </w:rPr>
            </w:pPr>
            <w:r>
              <w:rPr>
                <w:rFonts w:hint="eastAsia" w:ascii="仿宋" w:hAnsi="仿宋" w:eastAsia="仿宋" w:cs="仿宋"/>
                <w:color w:val="auto"/>
                <w:kern w:val="2"/>
                <w:sz w:val="24"/>
                <w:szCs w:val="24"/>
                <w:highlight w:val="none"/>
                <w:vertAlign w:val="baseline"/>
                <w:lang w:val="en-US" w:eastAsia="zh-CN" w:bidi="ar-SA"/>
              </w:rPr>
              <w:t>50万元≤项目最高限价＜80万元</w:t>
            </w:r>
            <w:r>
              <w:rPr>
                <w:rStyle w:val="32"/>
                <w:rFonts w:hint="eastAsia" w:ascii="仿宋" w:hAnsi="仿宋" w:eastAsia="仿宋" w:cs="仿宋"/>
                <w:color w:val="auto"/>
                <w:sz w:val="24"/>
                <w:szCs w:val="24"/>
                <w:highlight w:val="none"/>
                <w:vertAlign w:val="baseline"/>
                <w:lang w:val="en-US" w:eastAsia="zh-CN"/>
              </w:rPr>
              <w:t>的项目</w:t>
            </w:r>
          </w:p>
        </w:tc>
        <w:tc>
          <w:tcPr>
            <w:tcW w:w="3365" w:type="dxa"/>
            <w:noWrap w:val="0"/>
            <w:vAlign w:val="center"/>
          </w:tcPr>
          <w:p w14:paraId="19996A3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收费费率：</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gridSpan w:val="2"/>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3"/>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0"/>
        <w:rPr>
          <w:rFonts w:hint="eastAsia" w:ascii="宋体" w:hAnsi="宋体" w:eastAsia="宋体" w:cs="宋体"/>
          <w:sz w:val="24"/>
          <w:szCs w:val="24"/>
          <w:highlight w:val="none"/>
          <w:lang w:val="en-US" w:eastAsia="zh-CN"/>
        </w:rPr>
      </w:pPr>
    </w:p>
    <w:p w14:paraId="316A6239">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新增维修改造工程设计单位项目</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SZRFYZB202412-218</w:t>
      </w:r>
      <w:r>
        <w:rPr>
          <w:rFonts w:hint="eastAsia" w:ascii="宋体" w:hAnsi="宋体" w:eastAsia="宋体" w:cs="宋体"/>
          <w:b/>
          <w:snapToGrid w:val="0"/>
          <w:kern w:val="0"/>
          <w:sz w:val="24"/>
          <w:szCs w:val="24"/>
          <w:highlight w:val="none"/>
        </w:rPr>
        <w:t xml:space="preserve"> </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42F52E0">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7AED9FC9">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新增维修改造工程设计单位项目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SZRFYZB202412-218</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8" w:name="_Toc194663924"/>
      <w:bookmarkStart w:id="19" w:name="_Toc188808838"/>
      <w:bookmarkStart w:id="20" w:name="_Toc193187103"/>
      <w:bookmarkStart w:id="21"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ECBEDF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8"/>
      <w:bookmarkEnd w:id="19"/>
      <w:bookmarkEnd w:id="20"/>
      <w:bookmarkEnd w:id="21"/>
      <w:bookmarkStart w:id="22" w:name="_Toc48791235"/>
      <w:bookmarkStart w:id="23" w:name="_Toc188808839"/>
      <w:bookmarkStart w:id="24" w:name="_Toc49019497"/>
      <w:bookmarkStart w:id="25" w:name="_Toc193126888"/>
      <w:bookmarkStart w:id="26" w:name="_Toc47262069"/>
      <w:bookmarkStart w:id="27" w:name="_Toc48995851"/>
      <w:bookmarkStart w:id="28" w:name="_Toc47418255"/>
      <w:bookmarkStart w:id="29" w:name="_Toc49019236"/>
      <w:bookmarkStart w:id="30" w:name="_Toc47418731"/>
      <w:bookmarkStart w:id="31" w:name="_Toc47261885"/>
      <w:bookmarkStart w:id="32" w:name="_Toc193187104"/>
      <w:bookmarkStart w:id="33" w:name="_Toc194663925"/>
      <w:bookmarkStart w:id="34" w:name="_Toc47418938"/>
      <w:bookmarkStart w:id="35" w:name="_Toc47261690"/>
    </w:p>
    <w:bookmarkEnd w:id="14"/>
    <w:bookmarkEnd w:id="15"/>
    <w:bookmarkEnd w:id="16"/>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F346B33">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8"/>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8"/>
        <w:rPr>
          <w:rFonts w:hint="eastAsia" w:ascii="宋体" w:hAnsi="宋体" w:eastAsia="宋体" w:cs="宋体"/>
          <w:sz w:val="24"/>
          <w:szCs w:val="24"/>
          <w:lang w:val="en-US" w:eastAsia="zh-CN"/>
        </w:rPr>
      </w:pPr>
    </w:p>
    <w:p w14:paraId="10D7F8D7">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164BBA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0B992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3816C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578ACB7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7061F78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5D2CA3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59762C1">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8"/>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BEE0842">
      <w:pPr>
        <w:pStyle w:val="8"/>
        <w:rPr>
          <w:rFonts w:hint="eastAsia"/>
        </w:rPr>
      </w:pPr>
    </w:p>
    <w:p w14:paraId="5DC1F9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1ACE389C">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6" w:name="_Toc17482"/>
      <w:bookmarkStart w:id="37" w:name="_Toc18044"/>
      <w:bookmarkStart w:id="38" w:name="_Toc12408"/>
      <w:bookmarkStart w:id="39" w:name="_Toc15591"/>
      <w:bookmarkStart w:id="40" w:name="_Toc13312"/>
      <w:bookmarkStart w:id="41" w:name="_Toc19326"/>
      <w:bookmarkStart w:id="42"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6"/>
      <w:bookmarkEnd w:id="37"/>
      <w:bookmarkEnd w:id="38"/>
      <w:bookmarkEnd w:id="39"/>
      <w:bookmarkEnd w:id="40"/>
      <w:bookmarkEnd w:id="41"/>
      <w:r>
        <w:rPr>
          <w:rFonts w:hint="eastAsia" w:ascii="宋体" w:hAnsi="宋体" w:eastAsia="宋体" w:cs="宋体"/>
          <w:color w:val="000000" w:themeColor="text1"/>
          <w:sz w:val="24"/>
          <w:szCs w:val="24"/>
          <w:highlight w:val="none"/>
          <w14:textFill>
            <w14:solidFill>
              <w14:schemeClr w14:val="tx1"/>
            </w14:solidFill>
          </w14:textFill>
        </w:rPr>
        <w:t>（格式）</w:t>
      </w:r>
      <w:bookmarkEnd w:id="42"/>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43" w:name="_Toc7264"/>
      <w:bookmarkStart w:id="44" w:name="_Toc15794"/>
      <w:bookmarkStart w:id="45" w:name="_Toc724"/>
      <w:bookmarkStart w:id="46" w:name="_Toc2556"/>
      <w:bookmarkStart w:id="47" w:name="_Toc4050"/>
      <w:bookmarkStart w:id="48" w:name="_Toc5624"/>
      <w:bookmarkStart w:id="49"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新增维修改造工程设计单位项目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SZRFYZB202412-218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19"/>
        <w:numPr>
          <w:ilvl w:val="0"/>
          <w:numId w:val="0"/>
        </w:numPr>
        <w:spacing w:after="0"/>
        <w:ind w:left="420" w:leftChars="200" w:firstLine="482" w:firstLineChars="200"/>
        <w:rPr>
          <w:rFonts w:hint="eastAsia" w:ascii="宋体" w:hAnsi="宋体" w:cs="宋体"/>
          <w:b/>
          <w:bCs w:val="0"/>
          <w:sz w:val="24"/>
          <w:szCs w:val="24"/>
          <w:highlight w:val="yellow"/>
          <w:u w:val="single"/>
          <w:lang w:eastAsia="zh-CN"/>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p w14:paraId="331FCFE3">
      <w:pPr>
        <w:pStyle w:val="20"/>
        <w:rPr>
          <w:rFonts w:hint="eastAsia"/>
        </w:rPr>
      </w:pPr>
    </w:p>
    <w:bookmarkEnd w:id="43"/>
    <w:bookmarkEnd w:id="44"/>
    <w:bookmarkEnd w:id="45"/>
    <w:bookmarkEnd w:id="46"/>
    <w:bookmarkEnd w:id="47"/>
    <w:bookmarkEnd w:id="48"/>
    <w:bookmarkEnd w:id="49"/>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2B799249">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50" w:name="_Toc23408"/>
      <w:bookmarkStart w:id="51" w:name="_Toc6456"/>
      <w:bookmarkStart w:id="52" w:name="_Toc3854"/>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50"/>
      <w:bookmarkEnd w:id="51"/>
      <w:bookmarkEnd w:id="52"/>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新增维修改造工程设计单位项目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SZRFYZB202412-218</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8"/>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8"/>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19"/>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19"/>
        <w:rPr>
          <w:rFonts w:hint="eastAsia" w:ascii="宋体" w:hAnsi="宋体" w:eastAsia="宋体" w:cs="宋体"/>
          <w:color w:val="000000" w:themeColor="text1"/>
          <w:sz w:val="24"/>
          <w:szCs w:val="24"/>
          <w:highlight w:val="none"/>
          <w14:textFill>
            <w14:solidFill>
              <w14:schemeClr w14:val="tx1"/>
            </w14:solidFill>
          </w14:textFill>
        </w:rPr>
      </w:pPr>
    </w:p>
    <w:p w14:paraId="37A1CFBE">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75F65447">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53" w:name="_Toc25983"/>
      <w:bookmarkStart w:id="54" w:name="_Toc12264"/>
      <w:bookmarkStart w:id="55" w:name="_Toc15773"/>
      <w:bookmarkStart w:id="56" w:name="_Toc12007"/>
      <w:bookmarkStart w:id="57" w:name="_Toc14564"/>
      <w:bookmarkStart w:id="58" w:name="_Toc23076"/>
      <w:bookmarkStart w:id="59" w:name="_Toc13090"/>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53"/>
      <w:bookmarkEnd w:id="54"/>
      <w:bookmarkEnd w:id="55"/>
      <w:bookmarkEnd w:id="56"/>
      <w:bookmarkEnd w:id="57"/>
      <w:bookmarkEnd w:id="58"/>
      <w:bookmarkEnd w:id="59"/>
    </w:p>
    <w:p w14:paraId="6762CE88">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60" w:name="_Toc26760"/>
      <w:bookmarkStart w:id="61" w:name="_Toc15131"/>
      <w:bookmarkStart w:id="62" w:name="_Toc10651"/>
      <w:bookmarkStart w:id="63" w:name="_Toc11275"/>
      <w:bookmarkStart w:id="64" w:name="_Toc952"/>
      <w:bookmarkStart w:id="65" w:name="_Toc21260"/>
      <w:bookmarkStart w:id="66" w:name="_Toc22023"/>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60"/>
      <w:bookmarkEnd w:id="61"/>
      <w:bookmarkEnd w:id="62"/>
      <w:bookmarkEnd w:id="63"/>
      <w:bookmarkEnd w:id="64"/>
      <w:bookmarkEnd w:id="65"/>
      <w:bookmarkEnd w:id="66"/>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5"/>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5"/>
        <w:ind w:firstLine="0"/>
        <w:rPr>
          <w:rFonts w:ascii="仿宋" w:hAnsi="仿宋" w:eastAsia="仿宋" w:cs="仿宋"/>
          <w:color w:val="000000" w:themeColor="text1"/>
          <w:highlight w:val="none"/>
          <w14:textFill>
            <w14:solidFill>
              <w14:schemeClr w14:val="tx1"/>
            </w14:solidFill>
          </w14:textFill>
        </w:rPr>
      </w:pPr>
    </w:p>
    <w:p w14:paraId="6CA158AA">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新增维修改造工程设计单位项目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SZRFYZB202412-218</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8"/>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8"/>
        <w:rPr>
          <w:rFonts w:hint="eastAsia"/>
        </w:rPr>
      </w:pPr>
    </w:p>
    <w:p w14:paraId="7CB1DAA6">
      <w:pPr>
        <w:pStyle w:val="5"/>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238DA6CD">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D09682A">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14005D93">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2"/>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2"/>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both"/>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新增维修改造工程设计单位项目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FE340"/>
    <w:multiLevelType w:val="singleLevel"/>
    <w:tmpl w:val="9A2FE340"/>
    <w:lvl w:ilvl="0" w:tentative="0">
      <w:start w:val="1"/>
      <w:numFmt w:val="decimal"/>
      <w:suff w:val="nothing"/>
      <w:lvlText w:val="%1、"/>
      <w:lvlJc w:val="left"/>
    </w:lvl>
  </w:abstractNum>
  <w:abstractNum w:abstractNumId="1">
    <w:nsid w:val="E5D10308"/>
    <w:multiLevelType w:val="singleLevel"/>
    <w:tmpl w:val="E5D10308"/>
    <w:lvl w:ilvl="0" w:tentative="0">
      <w:start w:val="6"/>
      <w:numFmt w:val="chineseCounting"/>
      <w:suff w:val="nothing"/>
      <w:lvlText w:val="%1、"/>
      <w:lvlJc w:val="left"/>
      <w:rPr>
        <w:rFonts w:hint="eastAsia"/>
      </w:rPr>
    </w:lvl>
  </w:abstractNum>
  <w:abstractNum w:abstractNumId="2">
    <w:nsid w:val="33C94B26"/>
    <w:multiLevelType w:val="singleLevel"/>
    <w:tmpl w:val="33C94B2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85F1064"/>
    <w:rsid w:val="08F65BCD"/>
    <w:rsid w:val="08F8348E"/>
    <w:rsid w:val="09063C58"/>
    <w:rsid w:val="096E3BF7"/>
    <w:rsid w:val="09907300"/>
    <w:rsid w:val="09A73FC7"/>
    <w:rsid w:val="0AA720FE"/>
    <w:rsid w:val="0AAF3B94"/>
    <w:rsid w:val="0AD43A04"/>
    <w:rsid w:val="0B0A6BB0"/>
    <w:rsid w:val="0B280A1E"/>
    <w:rsid w:val="0BBF6171"/>
    <w:rsid w:val="0C0345EF"/>
    <w:rsid w:val="0C0D01E5"/>
    <w:rsid w:val="0C5C0688"/>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177642"/>
    <w:rsid w:val="3AFA5ADA"/>
    <w:rsid w:val="3B042899"/>
    <w:rsid w:val="3B0836E3"/>
    <w:rsid w:val="3B475FB0"/>
    <w:rsid w:val="3B894804"/>
    <w:rsid w:val="3C6008AD"/>
    <w:rsid w:val="3CD71AFE"/>
    <w:rsid w:val="3D4717F5"/>
    <w:rsid w:val="3DE94093"/>
    <w:rsid w:val="3E0427FF"/>
    <w:rsid w:val="3E1B6A1F"/>
    <w:rsid w:val="3E2C5397"/>
    <w:rsid w:val="3FC50572"/>
    <w:rsid w:val="3FF73C5F"/>
    <w:rsid w:val="402B37FA"/>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C5484B"/>
    <w:rsid w:val="4B390CB0"/>
    <w:rsid w:val="4B85700A"/>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01040F"/>
    <w:rsid w:val="682B6C96"/>
    <w:rsid w:val="690D2E04"/>
    <w:rsid w:val="6A053FC1"/>
    <w:rsid w:val="6A5079C7"/>
    <w:rsid w:val="6A68276C"/>
    <w:rsid w:val="6A8E3EF3"/>
    <w:rsid w:val="6BBD0C12"/>
    <w:rsid w:val="6BC81C42"/>
    <w:rsid w:val="6C557385"/>
    <w:rsid w:val="6C834610"/>
    <w:rsid w:val="6CA1071F"/>
    <w:rsid w:val="6CAC513A"/>
    <w:rsid w:val="6CB8239C"/>
    <w:rsid w:val="6CF76CB6"/>
    <w:rsid w:val="6DF92E91"/>
    <w:rsid w:val="6E22598D"/>
    <w:rsid w:val="6F34531A"/>
    <w:rsid w:val="6F9A4891"/>
    <w:rsid w:val="6FEE7EC8"/>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footer"/>
    <w:basedOn w:val="1"/>
    <w:link w:val="28"/>
    <w:qFormat/>
    <w:uiPriority w:val="0"/>
    <w:pPr>
      <w:tabs>
        <w:tab w:val="center" w:pos="4153"/>
        <w:tab w:val="right" w:pos="8306"/>
      </w:tabs>
      <w:snapToGrid w:val="0"/>
      <w:jc w:val="left"/>
    </w:pPr>
    <w:rPr>
      <w:sz w:val="18"/>
      <w:szCs w:val="18"/>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0"/>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opperplate Gothic Bold" w:hAnsi="Copperplate Gothic Bold"/>
      <w:sz w:val="32"/>
    </w:rPr>
  </w:style>
  <w:style w:type="paragraph" w:styleId="14">
    <w:name w:val="Balloon Text"/>
    <w:basedOn w:val="1"/>
    <w:qFormat/>
    <w:uiPriority w:val="0"/>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9"/>
    <w:next w:val="9"/>
    <w:link w:val="31"/>
    <w:qFormat/>
    <w:uiPriority w:val="0"/>
    <w:rPr>
      <w:b/>
      <w:bCs/>
    </w:rPr>
  </w:style>
  <w:style w:type="paragraph" w:styleId="19">
    <w:name w:val="Body Text First Indent"/>
    <w:basedOn w:val="10"/>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1"/>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5"/>
    <w:qFormat/>
    <w:uiPriority w:val="0"/>
    <w:rPr>
      <w:kern w:val="2"/>
      <w:sz w:val="18"/>
      <w:szCs w:val="18"/>
    </w:rPr>
  </w:style>
  <w:style w:type="character" w:customStyle="1" w:styleId="28">
    <w:name w:val="页脚 Char"/>
    <w:link w:val="2"/>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9"/>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3"/>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7"/>
    <w:qFormat/>
    <w:uiPriority w:val="99"/>
    <w:pPr>
      <w:jc w:val="left"/>
    </w:pPr>
  </w:style>
  <w:style w:type="paragraph" w:customStyle="1" w:styleId="44">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11766</Words>
  <Characters>12196</Characters>
  <Paragraphs>503</Paragraphs>
  <TotalTime>1</TotalTime>
  <ScaleCrop>false</ScaleCrop>
  <LinksUpToDate>false</LinksUpToDate>
  <CharactersWithSpaces>13216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2024-12-27T07:52:13Z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EC302342968647E0B22CCE427778ABAE_13</vt:lpwstr>
  </property>
  <property fmtid="{D5CDD505-2E9C-101B-9397-08002B2CF9AE}" pid="4" name="KSOTemplateDocerSaveRecord">
    <vt:lpwstr>eyJoZGlkIjoiM2Y1MGI3MTUzYjI2NWY2NTg2YjNkOWY2ZWFhYTc1YTYiLCJ1c2VySWQiOiIyMDg2NjQ2MDAifQ==</vt:lpwstr>
  </property>
</Properties>
</file>