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SZRFYZB202412-220</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2C33F394">
      <w:pPr>
        <w:keepNext w:val="0"/>
        <w:keepLines w:val="0"/>
        <w:pageBreakBefore w:val="0"/>
        <w:shd w:val="clear" w:color="auto" w:fill="FFFFFF"/>
        <w:kinsoku/>
        <w:wordWrap/>
        <w:overflowPunct/>
        <w:topLinePunct w:val="0"/>
        <w:bidi w:val="0"/>
        <w:spacing w:line="360" w:lineRule="auto"/>
        <w:ind w:right="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西咸院区新能源汽车充电桩安装项目</w:t>
      </w:r>
    </w:p>
    <w:p w14:paraId="6E03B32C">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0"/>
        <w:rPr>
          <w:rFonts w:hint="eastAsia"/>
        </w:rPr>
      </w:pPr>
    </w:p>
    <w:p w14:paraId="1205C4F0">
      <w:pPr>
        <w:pStyle w:val="20"/>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596536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0C5CE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shd w:val="clear" w:color="auto" w:fill="FFFFFF"/>
        <w:kinsoku/>
        <w:wordWrap/>
        <w:overflowPunct/>
        <w:topLinePunct w:val="0"/>
        <w:bidi w:val="0"/>
        <w:spacing w:line="360" w:lineRule="auto"/>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eastAsia="宋体" w:cs="宋体"/>
          <w:sz w:val="24"/>
          <w:szCs w:val="24"/>
          <w:highlight w:val="none"/>
          <w:lang w:val="en-US" w:eastAsia="zh-CN"/>
        </w:rPr>
        <w:t>西咸院区新能源汽车充电桩安装项目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7ADA1AC5">
      <w:pPr>
        <w:keepNext w:val="0"/>
        <w:keepLines w:val="0"/>
        <w:pageBreakBefore w:val="0"/>
        <w:widowControl w:val="0"/>
        <w:kinsoku/>
        <w:wordWrap/>
        <w:overflowPunct/>
        <w:topLinePunct w:val="0"/>
        <w:autoSpaceDE/>
        <w:autoSpaceDN/>
        <w:bidi w:val="0"/>
        <w:adjustRightInd/>
        <w:spacing w:line="360" w:lineRule="auto"/>
        <w:ind w:left="2399" w:leftChars="228" w:right="0" w:hanging="1920" w:hangingChars="8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西咸院区新能源汽车充电桩安装</w:t>
      </w:r>
    </w:p>
    <w:p w14:paraId="7C1EDBAD">
      <w:pPr>
        <w:keepNext w:val="0"/>
        <w:keepLines w:val="0"/>
        <w:pageBreakBefore w:val="0"/>
        <w:widowControl w:val="0"/>
        <w:kinsoku/>
        <w:wordWrap/>
        <w:overflowPunct/>
        <w:topLinePunct w:val="0"/>
        <w:autoSpaceDE/>
        <w:autoSpaceDN/>
        <w:bidi w:val="0"/>
        <w:adjustRightInd/>
        <w:spacing w:line="360" w:lineRule="auto"/>
        <w:ind w:right="0" w:firstLine="1920" w:firstLineChars="800"/>
        <w:textAlignment w:val="auto"/>
        <w:rPr>
          <w:rFonts w:hint="eastAsia"/>
          <w:lang w:val="en-US" w:eastAsia="zh-CN"/>
        </w:rPr>
      </w:pPr>
      <w:r>
        <w:rPr>
          <w:rFonts w:hint="eastAsia" w:ascii="宋体" w:hAnsi="宋体" w:cs="宋体"/>
          <w:sz w:val="24"/>
          <w:szCs w:val="24"/>
          <w:highlight w:val="none"/>
          <w:lang w:val="en-US" w:eastAsia="zh-CN"/>
        </w:rPr>
        <w:t>项目</w:t>
      </w:r>
    </w:p>
    <w:p w14:paraId="3B48F14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7CE9B1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6ACE9AB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w:t>
      </w:r>
      <w:r>
        <w:rPr>
          <w:rStyle w:val="32"/>
          <w:rFonts w:hint="eastAsia" w:ascii="宋体" w:hAnsi="宋体" w:cs="宋体"/>
          <w:sz w:val="24"/>
          <w:szCs w:val="24"/>
          <w:highlight w:val="none"/>
          <w:lang w:val="en-US" w:eastAsia="zh-CN"/>
        </w:rPr>
        <w:t>合作年限</w:t>
      </w:r>
      <w:r>
        <w:rPr>
          <w:rStyle w:val="32"/>
          <w:rFonts w:hint="eastAsia" w:ascii="宋体" w:hAnsi="宋体" w:eastAsia="宋体" w:cs="宋体"/>
          <w:sz w:val="24"/>
          <w:szCs w:val="24"/>
          <w:highlight w:val="none"/>
          <w:lang w:val="en-US" w:eastAsia="zh-CN"/>
        </w:rPr>
        <w:t>：</w:t>
      </w:r>
      <w:r>
        <w:rPr>
          <w:rStyle w:val="32"/>
          <w:rFonts w:hint="eastAsia" w:ascii="宋体" w:hAnsi="宋体" w:cs="宋体"/>
          <w:sz w:val="24"/>
          <w:szCs w:val="24"/>
          <w:highlight w:val="none"/>
          <w:lang w:val="en-US" w:eastAsia="zh-CN"/>
        </w:rPr>
        <w:t>十年</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23EEC9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本项目旨在为医院引入新能源汽车充电桩，满足就医人员及职工的充电需求，提升医院服务配套设施水平。医院提供场地，中标方负责充电桩的投资、建设、运营及维护。</w:t>
      </w:r>
    </w:p>
    <w:p w14:paraId="03A09F57">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2" w:firstLineChars="200"/>
        <w:textAlignment w:val="auto"/>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二、合作场地</w:t>
      </w:r>
    </w:p>
    <w:p w14:paraId="01161A5D">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我院西咸院区地下负二层东北区域及地面东区停车场区域，具体以现场查看为准。</w:t>
      </w:r>
    </w:p>
    <w:p w14:paraId="6BBB86EC">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default"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三、合作模式</w:t>
      </w:r>
    </w:p>
    <w:p w14:paraId="55AF6A61">
      <w:pPr>
        <w:pStyle w:val="1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现拟在西咸院区地下负二层东北区域安装慢充充电桩40个，地面东区停车场安装快充充电桩40个，具体位置乙方自行来现场查看甲方指定位置，建设所投入的所有费用全部由乙方支出，并负责设备维护及承担所有安全责任。</w:t>
      </w:r>
    </w:p>
    <w:p w14:paraId="3AEAF717">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2、我院用电为非商业用电，禁止对外出售，因此安装充电桩要求承建单位直接与国家电网对接，办理相关手续，并设立专线专户，并新设变压器、电表等相关配套设施。</w:t>
      </w:r>
    </w:p>
    <w:p w14:paraId="6152587F">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根据医院需求免费在甲方院区内建设，包括设备安装、线路铺设、地面平整、充电区域闸机的安装等，建设方案需征得甲方同意。运行期间乙方负责设备维护、维修、升级及安全管理，并承担所有安全责任包括工程保险、第三方责任险、工伤保险、意外伤害保险、项目保险等各项保险。</w:t>
      </w:r>
    </w:p>
    <w:p w14:paraId="043D35C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4.建设充电桩向医院缴纳的管理费不少于平台服务费收入的15%，建设充电桩内车辆停车收费按医院停车收费标准正常缴纳。</w:t>
      </w:r>
    </w:p>
    <w:p w14:paraId="7F9ABB07">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5.乙方需组建团队。建设团队需符合类似项目建设经验及必要的职称证书。经营团队管理人员需涵盖类似项目经验等的岗位职能，乙方所派驻人员需有相关业态丰富的管理经验和运营能力，所派驻人员需得到采购人认可。项目运营中，乙方可根据经营管理工作的实际需要适度增加经营团队成员，所有管理成本由乙方自行承担。</w:t>
      </w:r>
    </w:p>
    <w:p w14:paraId="6614BF53">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四、充电桩建设要求</w:t>
      </w:r>
    </w:p>
    <w:p w14:paraId="200A370D">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（一）后台监控管理系统</w:t>
      </w:r>
    </w:p>
    <w:p w14:paraId="7E9CCE62">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满足运营管理需要：具备充电状态监控、充电车辆查询、充电量统计、故障统计分析功能，并能按照时间段实现数据统计、文件导出等功能。</w:t>
      </w:r>
    </w:p>
    <w:p w14:paraId="2378394B">
      <w:pPr>
        <w:pStyle w:val="1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技术要求</w:t>
      </w:r>
    </w:p>
    <w:p w14:paraId="0E7CB73D">
      <w:pPr>
        <w:pStyle w:val="19"/>
        <w:keepNext w:val="0"/>
        <w:keepLines w:val="0"/>
        <w:pageBreakBefore w:val="0"/>
        <w:widowControl w:val="0"/>
        <w:numPr>
          <w:ilvl w:val="0"/>
          <w:numId w:val="3"/>
        </w:numPr>
        <w:tabs>
          <w:tab w:val="clear" w:pos="7290"/>
        </w:tabs>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快充：充电接口标准符合国家GB/T20234.3(AC)、GB/T20234.2(DC)、GB/T27930(CCS)、GB/T32729(CHAdeMO)等。充电功率要求每把充电枪快充可以实现不低于60KW输出，充电速度满足3C以上的要求，电负荷可满足40把快充枪同时使用。</w:t>
      </w:r>
    </w:p>
    <w:p w14:paraId="4DDC8BBC">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慢充：40辆车可实现同时充电，充电接口标准符合国家GB/T20234.3(AC)、GB/T20234.2(DC)、GB/T27930(CCS)、GB/T32729(CHAdeMO)等，平均单枪输出不少于30KW；每套充电系统下的所有充电枪可以实现功率智能调度，且可根据BMS需求将自动功率自动分配到没有充满电的车上。</w:t>
      </w:r>
    </w:p>
    <w:p w14:paraId="1D4A38CF">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技术标准：充电桩须符合国家及行业现行的相关标准和规范，并具备漏电保护、过压保护、过温保护、防雷保护、防锈保护、欠压保护、防反接保护和短路保护等功能。支持多种支付方式，如扫码支付、刷卡支付等。</w:t>
      </w:r>
    </w:p>
    <w:p w14:paraId="29DCC8E5">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 xml:space="preserve">  </w:t>
      </w:r>
      <w:r>
        <w:rPr>
          <w:rFonts w:hint="eastAsia" w:ascii="宋体" w:hAnsi="宋体" w:eastAsia="宋体" w:cs="宋体"/>
          <w:b/>
          <w:bCs/>
          <w:color w:val="auto"/>
          <w:kern w:val="2"/>
          <w:sz w:val="24"/>
          <w:szCs w:val="24"/>
          <w:u w:val="none"/>
          <w:lang w:val="en-US" w:eastAsia="zh-CN" w:bidi="ar-SA"/>
        </w:rPr>
        <w:t>五、运营管理要求</w:t>
      </w:r>
    </w:p>
    <w:p w14:paraId="6FD5570B">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 营业时间：提供 24 小时不间断充电服务。</w:t>
      </w:r>
    </w:p>
    <w:p w14:paraId="576E9652">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 收费标准：充电服务费标准需报医院备案，不高于国家核定标准，并根据市场情况进行合理调整。</w:t>
      </w:r>
    </w:p>
    <w:p w14:paraId="62CBE13E">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 运营监控：建立实时监控系统，对充电桩的运行状态、充电数据等进行监测和管理。</w:t>
      </w:r>
    </w:p>
    <w:p w14:paraId="14511FC2">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六、维护保养要求</w:t>
      </w:r>
    </w:p>
    <w:p w14:paraId="7CC01165">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w:t>
      </w:r>
      <w:bookmarkStart w:id="61" w:name="_GoBack"/>
      <w:bookmarkEnd w:id="61"/>
      <w:r>
        <w:rPr>
          <w:rFonts w:hint="eastAsia" w:ascii="宋体" w:hAnsi="宋体" w:eastAsia="宋体" w:cs="宋体"/>
          <w:b w:val="0"/>
          <w:bCs w:val="0"/>
          <w:color w:val="auto"/>
          <w:kern w:val="2"/>
          <w:sz w:val="24"/>
          <w:szCs w:val="24"/>
          <w:u w:val="none"/>
          <w:lang w:val="en-US" w:eastAsia="zh-CN" w:bidi="ar-SA"/>
        </w:rPr>
        <w:t>日常维护：制定详细的日常维护计划，定期对充电桩进行清洁、检查和保养。</w:t>
      </w:r>
    </w:p>
    <w:p w14:paraId="6E191907">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2.故障维修：建立快速响应机制，接到故障报修后，维修人员需在[2]小时内到达现场进行处理。</w:t>
      </w:r>
    </w:p>
    <w:p w14:paraId="68D9FCE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七、合作期限</w:t>
      </w:r>
    </w:p>
    <w:p w14:paraId="08D318D8">
      <w:pPr>
        <w:pStyle w:val="19"/>
        <w:spacing w:line="360" w:lineRule="auto"/>
        <w:ind w:left="0" w:leftChars="0" w:firstLine="480" w:firstLineChars="200"/>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合作期限为[10]年，自合同签订之日起计算。</w:t>
      </w:r>
    </w:p>
    <w:p w14:paraId="33FEEBA3">
      <w:pPr>
        <w:pStyle w:val="19"/>
        <w:spacing w:line="360" w:lineRule="auto"/>
        <w:ind w:left="0" w:leftChars="0" w:firstLine="0" w:firstLineChars="0"/>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八、收益分配</w:t>
      </w:r>
    </w:p>
    <w:p w14:paraId="0953602A">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充电服务费收益按照甲方不低于15%的比例进行分成。每月7日前，乙方向甲方提供上月充电服务费明细报表，并完成款项支付。</w:t>
      </w:r>
    </w:p>
    <w:p w14:paraId="3F50AC18">
      <w:pPr>
        <w:pStyle w:val="10"/>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七</w:t>
      </w:r>
      <w:r>
        <w:rPr>
          <w:rFonts w:hint="eastAsia" w:ascii="宋体" w:hAnsi="宋体" w:eastAsia="宋体" w:cs="宋体"/>
          <w:b/>
          <w:bCs/>
          <w:color w:val="000000"/>
          <w:sz w:val="24"/>
          <w:szCs w:val="24"/>
        </w:rPr>
        <w:t>、商务要求</w:t>
      </w:r>
    </w:p>
    <w:p w14:paraId="04637834">
      <w:pPr>
        <w:pStyle w:val="1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年；</w:t>
      </w:r>
    </w:p>
    <w:p w14:paraId="1DA760A5">
      <w:pPr>
        <w:pStyle w:val="1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r>
        <w:rPr>
          <w:rFonts w:hint="eastAsia" w:ascii="宋体" w:hAnsi="宋体" w:cs="宋体"/>
          <w:color w:val="auto"/>
          <w:sz w:val="24"/>
          <w:szCs w:val="24"/>
          <w:lang w:val="en-US" w:eastAsia="zh-CN"/>
        </w:rPr>
        <w:t>西咸</w:t>
      </w:r>
      <w:r>
        <w:rPr>
          <w:rFonts w:hint="eastAsia" w:ascii="宋体" w:hAnsi="宋体" w:eastAsia="宋体" w:cs="宋体"/>
          <w:color w:val="auto"/>
          <w:sz w:val="24"/>
          <w:szCs w:val="24"/>
        </w:rPr>
        <w:t>院区；</w:t>
      </w:r>
    </w:p>
    <w:p w14:paraId="10D08C7D">
      <w:pPr>
        <w:pStyle w:val="1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报价要求：本项目合同</w:t>
      </w:r>
      <w:r>
        <w:rPr>
          <w:rFonts w:hint="eastAsia" w:ascii="宋体" w:hAnsi="宋体" w:eastAsia="宋体" w:cs="宋体"/>
          <w:color w:val="000000"/>
          <w:sz w:val="24"/>
          <w:szCs w:val="24"/>
          <w:lang w:val="en-US" w:eastAsia="zh-CN"/>
        </w:rPr>
        <w:t>总价包死</w:t>
      </w:r>
      <w:r>
        <w:rPr>
          <w:rFonts w:hint="eastAsia" w:ascii="宋体" w:hAnsi="宋体" w:eastAsia="宋体" w:cs="宋体"/>
          <w:color w:val="000000"/>
          <w:sz w:val="24"/>
          <w:szCs w:val="24"/>
        </w:rPr>
        <w:t>，不随市场变化而调整。本项目合同价格为完成合同规定的工作所需要的全部费用，包括但不限于人员成本（含劳动保险、福利、加班费等）、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3316B1F3">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75"/>
        <w:gridCol w:w="8295"/>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32A21CD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1075"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AD97ADD">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w:t>
            </w:r>
            <w:r>
              <w:rPr>
                <w:rFonts w:hint="eastAsia" w:ascii="宋体" w:hAnsi="宋体" w:cs="宋体"/>
                <w:color w:val="000000"/>
                <w:sz w:val="24"/>
                <w:szCs w:val="24"/>
                <w:highlight w:val="none"/>
                <w:lang w:val="en-US" w:eastAsia="zh-CN"/>
              </w:rPr>
              <w:t>高</w:t>
            </w:r>
            <w:r>
              <w:rPr>
                <w:rFonts w:hint="eastAsia" w:ascii="宋体" w:hAnsi="宋体" w:eastAsia="宋体" w:cs="宋体"/>
                <w:color w:val="000000"/>
                <w:sz w:val="24"/>
                <w:szCs w:val="24"/>
                <w:highlight w:val="none"/>
                <w:lang w:val="zh-CN" w:eastAsia="zh-CN"/>
              </w:rPr>
              <w:t>的投标报价为评标基准价，其价格分为满分。其他投标人的价格分统一按照下列公式计算：</w:t>
            </w:r>
          </w:p>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投标报价得分=（投标报价/评标基准价）×</w:t>
            </w:r>
            <w:r>
              <w:rPr>
                <w:rFonts w:hint="eastAsia" w:ascii="宋体" w:hAnsi="宋体" w:cs="宋体"/>
                <w:color w:val="000000"/>
                <w:sz w:val="24"/>
                <w:szCs w:val="24"/>
                <w:highlight w:val="none"/>
                <w:lang w:val="en-US" w:eastAsia="zh-CN"/>
              </w:rPr>
              <w:t>30</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restart"/>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财务状况与资金实力（10分）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企业财务分析（6分）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2A6AAE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提供近3年完整财务报表，经分析，资产负债率合理，盈利能力强，现金流稳定，足以证明企业有雄厚资金实力和良好财务状况支撑项目合作，得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- 6分。</w:t>
            </w:r>
          </w:p>
          <w:p w14:paraId="377C28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财务报表显示企业财务状况基本稳定，虽有小问题，但不影响项目合作可行性，得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- 4分。</w:t>
            </w:r>
          </w:p>
          <w:p w14:paraId="04DA49EB">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 财务报表存在资产负债率过高、盈利能力差、现金流紧张等明显问题，可能给项目合作带来较大风险，得0 - 2分。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bottom w:val="single" w:color="auto" w:sz="4" w:space="0"/>
              <w:right w:val="single" w:color="auto" w:sz="4" w:space="0"/>
            </w:tcBorders>
            <w:noWrap w:val="0"/>
            <w:vAlign w:val="center"/>
          </w:tcPr>
          <w:p w14:paraId="20B0DF6D">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E0FCC2B">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资金保障规划（4分）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799D5DF8">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针对充电桩安装、运营的资金需求，制定了详尽、可行的资金保障计划，涵盖自有资金储备、融资渠道及计划等，能确保项目资金按时足额到位，得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 xml:space="preserve"> - 4分。</w:t>
            </w:r>
          </w:p>
          <w:p w14:paraId="01B269B1">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有一定资金保障措施，但不够完善，存在资金风险，得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 xml:space="preserve"> - </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分。</w:t>
            </w:r>
          </w:p>
          <w:p w14:paraId="4EDFB537">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 未提供有效资金保障措施，或措施明显不可行，得0</w:t>
            </w:r>
            <w:r>
              <w:rPr>
                <w:rFonts w:hint="eastAsia" w:ascii="宋体" w:hAnsi="宋体" w:cs="宋体"/>
                <w:color w:val="000000"/>
                <w:sz w:val="24"/>
                <w:szCs w:val="24"/>
                <w:highlight w:val="none"/>
                <w:lang w:val="en-US" w:eastAsia="zh-CN"/>
              </w:rPr>
              <w:t xml:space="preserve"> - 2</w:t>
            </w:r>
            <w:r>
              <w:rPr>
                <w:rFonts w:hint="eastAsia" w:ascii="宋体" w:hAnsi="宋体" w:eastAsia="宋体" w:cs="宋体"/>
                <w:color w:val="000000"/>
                <w:sz w:val="24"/>
                <w:szCs w:val="24"/>
                <w:highlight w:val="none"/>
                <w:lang w:eastAsia="zh-CN"/>
              </w:rPr>
              <w:t>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4B6C7CB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行业业绩与经验（5分）</w:t>
            </w:r>
          </w:p>
          <w:p w14:paraId="15311BFE">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C3C08A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充电桩项目业绩（3分）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3978A49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近3年内有5个及以上充电桩安装或运营合作项目成功案例，且在分成模式上成效显著，能提供合同、验收证明等有效材料，得2 - 3分。</w:t>
            </w:r>
          </w:p>
          <w:p w14:paraId="6C7549A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有3 - 4个类似项目业绩，且业绩良好，得1 - 2分。</w:t>
            </w:r>
          </w:p>
          <w:p w14:paraId="0A501A66">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 类似项目业绩较少，或业绩一般，得0 - 1分。</w:t>
            </w:r>
          </w:p>
        </w:tc>
      </w:tr>
      <w:tr w14:paraId="073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right w:val="single" w:color="auto" w:sz="4" w:space="0"/>
            </w:tcBorders>
            <w:noWrap w:val="0"/>
            <w:vAlign w:val="center"/>
          </w:tcPr>
          <w:p w14:paraId="197847B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C33E71C">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合作方口碑评价（2分）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35B5884A">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过往合作方的信誉评价良好，无违约或纠纷记录，得1 - 2分。</w:t>
            </w:r>
          </w:p>
          <w:p w14:paraId="72EC2F9C">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信誉评价较好，但有个别小问题，得0.5 - 1分。</w:t>
            </w:r>
          </w:p>
          <w:p w14:paraId="654E07B1">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 有不良信誉记录，或无法提供有效信誉评价材料，得</w:t>
            </w:r>
            <w:r>
              <w:rPr>
                <w:rFonts w:hint="eastAsia" w:ascii="宋体" w:hAnsi="宋体" w:cs="宋体"/>
                <w:color w:val="000000"/>
                <w:sz w:val="24"/>
                <w:szCs w:val="24"/>
                <w:highlight w:val="none"/>
                <w:lang w:val="en-US" w:eastAsia="zh-CN"/>
              </w:rPr>
              <w:t>0 - 0.5</w:t>
            </w:r>
            <w:r>
              <w:rPr>
                <w:rFonts w:hint="eastAsia" w:ascii="宋体" w:hAnsi="宋体" w:eastAsia="宋体" w:cs="宋体"/>
                <w:color w:val="000000"/>
                <w:sz w:val="24"/>
                <w:szCs w:val="24"/>
                <w:highlight w:val="none"/>
              </w:rPr>
              <w:t>分。</w:t>
            </w:r>
          </w:p>
        </w:tc>
      </w:tr>
      <w:tr w14:paraId="5B5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restart"/>
            <w:tcBorders>
              <w:left w:val="single" w:color="auto" w:sz="4" w:space="0"/>
              <w:right w:val="single" w:color="auto" w:sz="4" w:space="0"/>
            </w:tcBorders>
            <w:noWrap w:val="0"/>
            <w:vAlign w:val="center"/>
          </w:tcPr>
          <w:p w14:paraId="317135D8">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充电桩安装方案（2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1176C2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zh-CN"/>
              </w:rPr>
              <w:t>场地勘察与规划（5分）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7039001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对项目场地进行了全面、细致勘察，结合场地电力容量、使用需求、未来发展规划等因素，制定的充电桩布局规划科学合理，能充分满足当前及未来需求，得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- 5分。</w:t>
            </w:r>
          </w:p>
          <w:p w14:paraId="78C75CF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对场地有一定勘察，布局规划基本合理，但在某些方面不够完善，得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- 3分。</w:t>
            </w:r>
          </w:p>
          <w:p w14:paraId="725F165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场地勘察不足，布局规划不合理，无法满足项目需求，得0 - </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r>
      <w:tr w14:paraId="32DE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right w:val="single" w:color="auto" w:sz="4" w:space="0"/>
            </w:tcBorders>
            <w:noWrap w:val="0"/>
            <w:vAlign w:val="center"/>
          </w:tcPr>
          <w:p w14:paraId="339268A8">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516C8E1">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安装施工计划（</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7F5C945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制定了详细、合理的安装施工计划，明确各阶段工作任务、时间节点、责任人等，施工进度安排科学，充分考虑了施工中的风险和不确定因素，并制定了应对措施，能确保项目按时、高质量完成，得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 xml:space="preserve"> - </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p w14:paraId="6EA2BA93">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施工计划和进度安排基本合理，能满足项目基本要求，但在细节或风险应对上有不足，得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32592491">
            <w:pPr>
              <w:spacing w:line="360"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en-US" w:eastAsia="zh-CN"/>
              </w:rPr>
              <w:t xml:space="preserve">- 施工计划和进度安排不合理，存在明显漏洞，无法保障项目顺利实施，得0 -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right w:val="single" w:color="auto" w:sz="4" w:space="0"/>
            </w:tcBorders>
            <w:noWrap w:val="0"/>
            <w:vAlign w:val="center"/>
          </w:tcPr>
          <w:p w14:paraId="612618A2">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施工团队资质（</w:t>
            </w:r>
            <w:r>
              <w:rPr>
                <w:rFonts w:hint="eastAsia" w:ascii="宋体" w:hAnsi="宋体"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zh-CN" w:eastAsia="zh-CN" w:bidi="ar-SA"/>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63E3B9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施工团队具备专业的电气安装资质，成员经验丰富、技术熟练，特殊工种人员持证上岗，人员配置充足，能满足项目施工要求，得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5</w:t>
            </w:r>
            <w:r>
              <w:rPr>
                <w:rFonts w:hint="eastAsia" w:ascii="宋体" w:hAnsi="宋体" w:eastAsia="宋体" w:cs="宋体"/>
                <w:sz w:val="24"/>
                <w:szCs w:val="24"/>
                <w:highlight w:val="none"/>
              </w:rPr>
              <w:t>分。</w:t>
            </w:r>
          </w:p>
          <w:p w14:paraId="2B2D9A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施工团队基本能满足项目需求，但在个别人员资质或经验上有欠缺，得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412C185F">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 施工团队资质不符合要求，人员配置不足，得0</w:t>
            </w:r>
            <w:r>
              <w:rPr>
                <w:rFonts w:hint="eastAsia" w:ascii="宋体" w:hAnsi="宋体" w:cs="宋体"/>
                <w:sz w:val="24"/>
                <w:szCs w:val="24"/>
                <w:highlight w:val="none"/>
                <w:lang w:val="en-US" w:eastAsia="zh-CN"/>
              </w:rPr>
              <w:t xml:space="preserve"> - 2</w:t>
            </w:r>
            <w:r>
              <w:rPr>
                <w:rFonts w:hint="eastAsia" w:ascii="宋体" w:hAnsi="宋体" w:eastAsia="宋体" w:cs="宋体"/>
                <w:sz w:val="24"/>
                <w:szCs w:val="24"/>
                <w:highlight w:val="none"/>
              </w:rPr>
              <w:t>分。</w:t>
            </w:r>
          </w:p>
        </w:tc>
      </w:tr>
      <w:tr w14:paraId="3AD4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bottom w:val="single" w:color="auto" w:sz="4" w:space="0"/>
              <w:right w:val="single" w:color="auto" w:sz="4" w:space="0"/>
            </w:tcBorders>
            <w:noWrap w:val="0"/>
            <w:vAlign w:val="center"/>
          </w:tcPr>
          <w:p w14:paraId="14602335">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34037EC">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质量控制措施（</w:t>
            </w:r>
            <w:r>
              <w:rPr>
                <w:rFonts w:hint="eastAsia" w:ascii="宋体" w:hAnsi="宋体"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zh-CN" w:eastAsia="zh-CN" w:bidi="ar-SA"/>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683EA5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建立了完善的质量控制体系，涵盖设备采购、安装调试、竣工验收等环节，制定了详细质量标准和检验流程，能有效保证充电桩安装质量，得</w:t>
            </w:r>
            <w:r>
              <w:rPr>
                <w:rFonts w:hint="eastAsia" w:ascii="宋体" w:hAnsi="宋体" w:cs="宋体"/>
                <w:sz w:val="24"/>
                <w:szCs w:val="24"/>
                <w:highlight w:val="none"/>
                <w:lang w:val="en-US" w:eastAsia="zh-CN"/>
              </w:rPr>
              <w:t xml:space="preserve">3 </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 xml:space="preserve"> 5</w:t>
            </w:r>
            <w:r>
              <w:rPr>
                <w:rFonts w:hint="eastAsia" w:ascii="宋体" w:hAnsi="宋体" w:eastAsia="宋体" w:cs="宋体"/>
                <w:sz w:val="24"/>
                <w:szCs w:val="24"/>
                <w:highlight w:val="none"/>
              </w:rPr>
              <w:t>分。</w:t>
            </w:r>
          </w:p>
          <w:p w14:paraId="608EC70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有一定质量控制措施，但体系不够完善，得</w:t>
            </w:r>
            <w:r>
              <w:rPr>
                <w:rFonts w:hint="eastAsia" w:ascii="宋体" w:hAnsi="宋体" w:cs="宋体"/>
                <w:sz w:val="24"/>
                <w:szCs w:val="24"/>
                <w:highlight w:val="none"/>
                <w:lang w:val="en-US" w:eastAsia="zh-CN"/>
              </w:rPr>
              <w:t xml:space="preserve">2 </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 xml:space="preserve"> 3</w:t>
            </w:r>
            <w:r>
              <w:rPr>
                <w:rFonts w:hint="eastAsia" w:ascii="宋体" w:hAnsi="宋体" w:eastAsia="宋体" w:cs="宋体"/>
                <w:sz w:val="24"/>
                <w:szCs w:val="24"/>
                <w:highlight w:val="none"/>
              </w:rPr>
              <w:t>分。</w:t>
            </w:r>
          </w:p>
          <w:p w14:paraId="4E52ACA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质量控制措施不健全，得0</w:t>
            </w:r>
            <w:r>
              <w:rPr>
                <w:rFonts w:hint="eastAsia" w:ascii="宋体" w:hAnsi="宋体" w:cs="宋体"/>
                <w:sz w:val="24"/>
                <w:szCs w:val="24"/>
                <w:highlight w:val="none"/>
                <w:lang w:val="en-US" w:eastAsia="zh-CN"/>
              </w:rPr>
              <w:t xml:space="preserve"> - 2</w:t>
            </w:r>
            <w:r>
              <w:rPr>
                <w:rFonts w:hint="eastAsia" w:ascii="宋体" w:hAnsi="宋体" w:eastAsia="宋体" w:cs="宋体"/>
                <w:sz w:val="24"/>
                <w:szCs w:val="24"/>
                <w:highlight w:val="none"/>
              </w:rPr>
              <w:t>分。</w:t>
            </w:r>
          </w:p>
        </w:tc>
      </w:tr>
      <w:tr w14:paraId="0C58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5787E848">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充电桩技术与运维（</w:t>
            </w:r>
            <w:r>
              <w:rPr>
                <w:rFonts w:hint="eastAsia" w:ascii="宋体" w:hAnsi="宋体" w:cs="宋体"/>
                <w:color w:val="000000"/>
                <w:kern w:val="2"/>
                <w:sz w:val="24"/>
                <w:szCs w:val="24"/>
                <w:highlight w:val="none"/>
                <w:lang w:val="en-US" w:eastAsia="zh-CN" w:bidi="ar-SA"/>
              </w:rPr>
              <w:t>20分</w:t>
            </w:r>
            <w:r>
              <w:rPr>
                <w:rFonts w:hint="eastAsia" w:ascii="宋体" w:hAnsi="宋体" w:eastAsia="宋体" w:cs="宋体"/>
                <w:color w:val="000000"/>
                <w:kern w:val="2"/>
                <w:sz w:val="24"/>
                <w:szCs w:val="24"/>
                <w:highlight w:val="none"/>
                <w:lang w:val="zh-CN" w:eastAsia="zh-CN" w:bidi="ar-SA"/>
              </w:rPr>
              <w:t>）</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3E6E7C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充电桩选型与性能（</w:t>
            </w:r>
            <w:r>
              <w:rPr>
                <w:rFonts w:hint="eastAsia" w:ascii="宋体" w:hAnsi="宋体" w:cs="宋体"/>
                <w:color w:val="000000"/>
                <w:kern w:val="2"/>
                <w:sz w:val="24"/>
                <w:szCs w:val="24"/>
                <w:highlight w:val="none"/>
                <w:lang w:val="en-US" w:eastAsia="zh-CN" w:bidi="ar-SA"/>
              </w:rPr>
              <w:t>10</w:t>
            </w:r>
            <w:r>
              <w:rPr>
                <w:rFonts w:hint="eastAsia" w:ascii="宋体" w:hAnsi="宋体" w:eastAsia="宋体" w:cs="宋体"/>
                <w:color w:val="000000"/>
                <w:kern w:val="2"/>
                <w:sz w:val="24"/>
                <w:szCs w:val="24"/>
                <w:highlight w:val="none"/>
                <w:lang w:val="zh-CN" w:eastAsia="zh-CN" w:bidi="ar-SA"/>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198BA9F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选用的充电桩技术先进、性能稳定，充电效率高、兼容性强，具备智能监控、远程管理等功能，能满足不同用户需求，得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14:paraId="1A61076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充电桩选型基本合理，性能能满足项目主要要求，但在某些功能上有优化空间，得3 -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p w14:paraId="63739B2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充电桩选型存在缺陷，性能无法满足项目需求，得0 -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402F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right w:val="single" w:color="auto" w:sz="4" w:space="0"/>
            </w:tcBorders>
            <w:noWrap w:val="0"/>
            <w:vAlign w:val="center"/>
          </w:tcPr>
          <w:p w14:paraId="1F0968E8">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D86BB0C">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运维服务体系（</w:t>
            </w:r>
            <w:r>
              <w:rPr>
                <w:rFonts w:hint="eastAsia" w:ascii="宋体" w:hAnsi="宋体"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zh-CN" w:eastAsia="zh-CN" w:bidi="ar-SA"/>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1994F5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建立了完善的运维服务体系，配备专业运维团队，有明确的运维响应时间、故障处理流程和定期维护计划，能确保充电桩稳定运行，得</w:t>
            </w:r>
            <w:r>
              <w:rPr>
                <w:rFonts w:hint="eastAsia" w:ascii="宋体" w:hAnsi="宋体" w:cs="宋体"/>
                <w:sz w:val="24"/>
                <w:szCs w:val="24"/>
                <w:highlight w:val="none"/>
                <w:lang w:val="en-US" w:eastAsia="zh-CN"/>
              </w:rPr>
              <w:t xml:space="preserve">3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5A977E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有运维服务体系，但不够完善，如响应时间较长、维护计划不详细，得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1C53A84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未建立有效的运维服务体系，得0 - </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58CA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bottom w:val="single" w:color="auto" w:sz="4" w:space="0"/>
              <w:right w:val="single" w:color="auto" w:sz="4" w:space="0"/>
            </w:tcBorders>
            <w:noWrap w:val="0"/>
            <w:vAlign w:val="center"/>
          </w:tcPr>
          <w:p w14:paraId="70B8A000">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C1199D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技术创新能力（</w:t>
            </w:r>
            <w:r>
              <w:rPr>
                <w:rFonts w:hint="eastAsia" w:ascii="宋体" w:hAnsi="宋体"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zh-CN" w:eastAsia="zh-CN" w:bidi="ar-SA"/>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1ABBC2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在充电桩技术应用或运维管理上有创新举措，如采用新型充电技术、优化运维管理软件等，能提升项目效益和竞争力，得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77854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有一定创新想法，但未有效实施或效果不明显，得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25D6FF5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技术方面缺乏创新，得0 - </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14B9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0BF9AA8C">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售后服务承诺（</w:t>
            </w:r>
            <w:r>
              <w:rPr>
                <w:rFonts w:hint="eastAsia" w:ascii="宋体" w:hAnsi="宋体" w:cs="宋体"/>
                <w:color w:val="000000"/>
                <w:kern w:val="2"/>
                <w:sz w:val="24"/>
                <w:szCs w:val="24"/>
                <w:highlight w:val="none"/>
                <w:lang w:val="en-US" w:eastAsia="zh-CN" w:bidi="ar-SA"/>
              </w:rPr>
              <w:t>10</w:t>
            </w:r>
            <w:r>
              <w:rPr>
                <w:rFonts w:hint="eastAsia" w:ascii="宋体" w:hAnsi="宋体" w:eastAsia="宋体" w:cs="宋体"/>
                <w:color w:val="000000"/>
                <w:kern w:val="2"/>
                <w:sz w:val="24"/>
                <w:szCs w:val="24"/>
                <w:highlight w:val="none"/>
                <w:lang w:val="zh-CN" w:eastAsia="zh-CN" w:bidi="ar-SA"/>
              </w:rPr>
              <w:t>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E5202D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售后响应速度（</w:t>
            </w:r>
            <w:r>
              <w:rPr>
                <w:rFonts w:hint="eastAsia" w:ascii="宋体"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zh-CN" w:eastAsia="zh-CN" w:bidi="ar-SA"/>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13BE4DB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承诺在接到客户故障报修后，能在1小时内响应，并及时安排人员处理，得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14:paraId="0AC1EC1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售后响应时间承诺在2 - 4小时内，基本能满足需求，得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分。</w:t>
            </w:r>
          </w:p>
          <w:p w14:paraId="062EA2B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售后响应时间长，超过4小时，可能影响用户体验，得</w:t>
            </w:r>
            <w:r>
              <w:rPr>
                <w:rFonts w:hint="eastAsia" w:ascii="宋体" w:hAnsi="宋体" w:cs="宋体"/>
                <w:sz w:val="24"/>
                <w:szCs w:val="24"/>
                <w:highlight w:val="none"/>
                <w:lang w:val="en-US" w:eastAsia="zh-CN"/>
              </w:rPr>
              <w:t xml:space="preserve"> 1</w:t>
            </w:r>
            <w:r>
              <w:rPr>
                <w:rFonts w:hint="eastAsia" w:ascii="宋体" w:hAnsi="宋体" w:eastAsia="宋体" w:cs="宋体"/>
                <w:sz w:val="24"/>
                <w:szCs w:val="24"/>
                <w:highlight w:val="none"/>
              </w:rPr>
              <w:t>分。</w:t>
            </w:r>
          </w:p>
        </w:tc>
      </w:tr>
      <w:tr w14:paraId="022D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 w:type="dxa"/>
            <w:vMerge w:val="continue"/>
            <w:tcBorders>
              <w:left w:val="single" w:color="auto" w:sz="4" w:space="0"/>
              <w:bottom w:val="single" w:color="auto" w:sz="4" w:space="0"/>
              <w:right w:val="single" w:color="auto" w:sz="4" w:space="0"/>
            </w:tcBorders>
            <w:noWrap w:val="0"/>
            <w:vAlign w:val="center"/>
          </w:tcPr>
          <w:p w14:paraId="2A31B5CA">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894A145">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售后保障内容（</w:t>
            </w:r>
            <w:r>
              <w:rPr>
                <w:rFonts w:hint="eastAsia" w:ascii="宋体" w:hAnsi="宋体" w:cs="宋体"/>
                <w:color w:val="000000"/>
                <w:kern w:val="2"/>
                <w:sz w:val="24"/>
                <w:szCs w:val="24"/>
                <w:highlight w:val="none"/>
                <w:lang w:val="en-US" w:eastAsia="zh-CN" w:bidi="ar-SA"/>
              </w:rPr>
              <w:t>6</w:t>
            </w:r>
            <w:r>
              <w:rPr>
                <w:rFonts w:hint="eastAsia" w:ascii="宋体" w:hAnsi="宋体" w:eastAsia="宋体" w:cs="宋体"/>
                <w:color w:val="000000"/>
                <w:kern w:val="2"/>
                <w:sz w:val="24"/>
                <w:szCs w:val="24"/>
                <w:highlight w:val="none"/>
                <w:lang w:val="zh-CN" w:eastAsia="zh-CN" w:bidi="ar-SA"/>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785F57A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提供全面售后保障，包括设备维修、更换、技术支持、培训服务等，质保期不少于[</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]年，得</w:t>
            </w:r>
            <w:r>
              <w:rPr>
                <w:rFonts w:hint="eastAsia" w:ascii="宋体" w:hAnsi="宋体" w:cs="宋体"/>
                <w:sz w:val="24"/>
                <w:szCs w:val="24"/>
                <w:highlight w:val="none"/>
                <w:lang w:val="en-US" w:eastAsia="zh-CN"/>
              </w:rPr>
              <w:t>4 - 6</w:t>
            </w:r>
            <w:r>
              <w:rPr>
                <w:rFonts w:hint="eastAsia" w:ascii="宋体" w:hAnsi="宋体" w:eastAsia="宋体" w:cs="宋体"/>
                <w:sz w:val="24"/>
                <w:szCs w:val="24"/>
                <w:highlight w:val="none"/>
              </w:rPr>
              <w:t>分。</w:t>
            </w:r>
          </w:p>
          <w:p w14:paraId="22109C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售后保障内容基本完善，但在某些方面有不足，如质保期较短、培训服务不全面，得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14:paraId="757166D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售后保障措施不健全，得0 - </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273F1263">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6EC1140E">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甲方：</w:t>
      </w:r>
    </w:p>
    <w:p w14:paraId="411D1E70">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乙方：</w:t>
      </w:r>
    </w:p>
    <w:p w14:paraId="0C33AED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甲乙双方基于公平、公正、平等的原则，依据《中华人民共和国民法典》之相关规定，现经甲乙双方友好协商，就</w:t>
      </w:r>
      <w:r>
        <w:rPr>
          <w:rFonts w:hint="eastAsia" w:ascii="仿宋" w:hAnsi="仿宋" w:eastAsia="仿宋" w:cs="仿宋"/>
          <w:color w:val="auto"/>
          <w:kern w:val="2"/>
          <w:sz w:val="24"/>
          <w:szCs w:val="24"/>
          <w:u w:val="single"/>
          <w:lang w:val="en-US" w:eastAsia="zh-CN" w:bidi="ar-SA"/>
        </w:rPr>
        <w:t>乙方在我院建设智能汽车充电桩项目事宜</w:t>
      </w:r>
      <w:r>
        <w:rPr>
          <w:rFonts w:hint="eastAsia" w:ascii="仿宋" w:hAnsi="仿宋" w:eastAsia="仿宋" w:cs="仿宋"/>
          <w:color w:val="auto"/>
          <w:kern w:val="2"/>
          <w:sz w:val="24"/>
          <w:szCs w:val="24"/>
          <w:u w:val="none"/>
          <w:lang w:val="en-US" w:eastAsia="zh-CN" w:bidi="ar-SA"/>
        </w:rPr>
        <w:t>达成以下合作协议：</w:t>
      </w:r>
    </w:p>
    <w:p w14:paraId="2064FC5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一、合作内容</w:t>
      </w:r>
    </w:p>
    <w:p w14:paraId="097ADBD9">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双方共同合作在甲方西咸院区负二层地下车库及路面东区停车场建设、运营汽车充电桩项目，旨在为电动汽车用户提供便捷、高效的充电服务。</w:t>
      </w:r>
    </w:p>
    <w:p w14:paraId="663E4035">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甲方负责提供项目所需的场地、协调配合乙方完成慢充充电电力接入，其余相关基础设施建设，与国家电网对接等事宜，全部由乙方负责。</w:t>
      </w:r>
    </w:p>
    <w:p w14:paraId="2268DFF3">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 xml:space="preserve">3. 乙方负责提供符合国家标准及行业规范的汽车充电桩设备，包括设备的采购、运输、安装调试，并承担设备质量保证及售后服务责任。乙方提供的充电桩设备应具备[列举关键技术参数与功能，如充电功率、充电接口类型、智能支付与监控功能等]。 </w:t>
      </w:r>
    </w:p>
    <w:p w14:paraId="17D1042B">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二、合作期限</w:t>
      </w:r>
    </w:p>
    <w:p w14:paraId="2CBB607F">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本合作协议自双方签字（或盖章）之日起生效，有效期为[十]年。</w:t>
      </w:r>
    </w:p>
    <w:p w14:paraId="151325E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三、收益分配</w:t>
      </w:r>
    </w:p>
    <w:p w14:paraId="0C740166">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项目收益来源于充电桩用户的充电费用。双方同意在扣除运营成本（包括电费、设备维护费、网络通讯费等）后，按照甲方[X]%、乙方[X]%的比例进行收益分配。收益分配时间为每[月/季度/半年]结算一次，在结算后的[X]个工作日内完成款项支付。</w:t>
      </w:r>
    </w:p>
    <w:p w14:paraId="2B7391DD">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四、双方权利与义务</w:t>
      </w:r>
    </w:p>
    <w:p w14:paraId="70DA887D">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甲方权利义务</w:t>
      </w:r>
    </w:p>
    <w:p w14:paraId="12CFD72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有权对项目的建设进度、运营管理进行监督检查，提出合理建议与整改要求。</w:t>
      </w:r>
    </w:p>
    <w:p w14:paraId="01D62975">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确保场地按时交付使用，并保证院内电力供应稳定可靠。</w:t>
      </w:r>
    </w:p>
    <w:p w14:paraId="05507EC2">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乙方权利义</w:t>
      </w:r>
    </w:p>
    <w:p w14:paraId="5A422AC9">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有权按照协议约定获取项目收益分配款项。</w:t>
      </w:r>
    </w:p>
    <w:p w14:paraId="14455483">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根据项目需求及甲方提供的场地条件，设计合理的充电桩布局方案，并提供设备选型建议。确保所提供的充电桩设备质量合格，符合国家标准及行业规范要求，并提供相应的质量证明文件。设备质保期为[X]年，在质保期内免费提供设备维修与更换服务（因人为损坏或不可抗力因素除外）。</w:t>
      </w:r>
    </w:p>
    <w:p w14:paraId="149A924C">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 负责充电桩设备的远程监控与运营数据分析，及时掌握设备运行状态，发现故障或异常情况应在[X]小时内响应，并安排技术人员进行现场维修处理，确保设备正常运行时间不低于[X]%。</w:t>
      </w:r>
    </w:p>
    <w:p w14:paraId="1069D4A6">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4.负责项目运营期间的日常管理工作，包括但不限于场地用户服务与投诉处理等。按照国家相关法律法规及行业规范，制定合理的充电服务收费标准，并向社会公示。</w:t>
      </w:r>
    </w:p>
    <w:p w14:paraId="54F0440A">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5. 配合甲方开展项目的宣传推广工作，提供相关技术资料与宣传素材，共同提升项目的知名度与市场影响力。</w:t>
      </w:r>
    </w:p>
    <w:p w14:paraId="3B6A446C">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五、保密条款</w:t>
      </w:r>
    </w:p>
    <w:p w14:paraId="57A709AD">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双方应对在合作过程中知悉的对方商业秘密、技术秘密、用户信息等予以保密，未经对方书面同意，不得向任何第三方披露或使用。</w:t>
      </w:r>
    </w:p>
    <w:p w14:paraId="75B809A5">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本条款的保密期限为自本协议生效之日起[X]年。</w:t>
      </w:r>
    </w:p>
    <w:p w14:paraId="666376C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六、违约责任</w:t>
      </w:r>
    </w:p>
    <w:p w14:paraId="3DB773E3">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若甲方未按照协议约定按时提供场地或电力接入等，导致项目延误或无法正常运营，每逾期一日，应按照项目投资预算总额的[X]%向乙方支付违约金；逾期超过[X]日的，乙方有权解除协议，并要求甲方赔偿因此给乙方造成的全部损失。</w:t>
      </w:r>
    </w:p>
    <w:p w14:paraId="0184EEE2">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若乙方未按照协议约定提供合格的充电桩设备、按时完成设备安装调试或履行售后服务责任，导致项目延误或设备无法正常运行，每逾期一日，应按照项目投资预算总额的[X]%向甲方支付违约金；因设备质量问题给用户造成人身伤害或财产损失的，乙方应承担全部赔偿责任，并赔偿甲方因此遭受的损失；逾期超过[X]日的，甲方有权解除协议，并要求乙方返还已支付的设备款项，同时乙方应按照设备采购总价的[X]%向甲方支付违约金。</w:t>
      </w:r>
    </w:p>
    <w:p w14:paraId="035576E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 任何一方违反保密条款约定，应向对方支付违约金[X]元，并赔偿因此给对方造成的全部损失。</w:t>
      </w:r>
    </w:p>
    <w:p w14:paraId="7D2F09E7">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七、争议解决</w:t>
      </w:r>
    </w:p>
    <w:p w14:paraId="2E49DEB6">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如双方在本协议履行过程中发生争议，应首先通过友好协商解决；协商不成的，任何一方均有权向有管辖权的人民法院提起诉讼。</w:t>
      </w:r>
    </w:p>
    <w:p w14:paraId="7162191B">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八、其他条款</w:t>
      </w:r>
    </w:p>
    <w:p w14:paraId="0A1F5204">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 本协议未尽事宜，双方可另行签订补充协议，补充协议与本协议具有同等法律效力。</w:t>
      </w:r>
    </w:p>
    <w:p w14:paraId="32505E4C">
      <w:pPr>
        <w:keepNext w:val="0"/>
        <w:keepLines w:val="0"/>
        <w:pageBreakBefore w:val="0"/>
        <w:numPr>
          <w:ilvl w:val="0"/>
          <w:numId w:val="0"/>
        </w:numPr>
        <w:kinsoku/>
        <w:wordWrap/>
        <w:overflowPunct/>
        <w:topLinePunct w:val="0"/>
        <w:bidi w:val="0"/>
        <w:spacing w:line="360" w:lineRule="auto"/>
        <w:ind w:left="0" w:leftChars="0" w:firstLine="480" w:firstLineChars="200"/>
        <w:jc w:val="left"/>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 本协议一式伍份，甲乙双方各执一份，具有同等效力。</w:t>
      </w:r>
    </w:p>
    <w:p w14:paraId="7BE851FF">
      <w:pPr>
        <w:keepNext w:val="0"/>
        <w:keepLines w:val="0"/>
        <w:pageBreakBefore w:val="0"/>
        <w:numPr>
          <w:ilvl w:val="0"/>
          <w:numId w:val="0"/>
        </w:numPr>
        <w:kinsoku/>
        <w:wordWrap/>
        <w:overflowPunct/>
        <w:topLinePunct w:val="0"/>
        <w:bidi w:val="0"/>
        <w:spacing w:line="360" w:lineRule="auto"/>
        <w:ind w:left="0" w:leftChars="0" w:firstLine="480" w:firstLineChars="200"/>
        <w:jc w:val="center"/>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 xml:space="preserve"> </w:t>
      </w:r>
    </w:p>
    <w:p w14:paraId="44989D3D">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甲方（盖章）：__________________</w:t>
      </w:r>
    </w:p>
    <w:p w14:paraId="0432AD6A">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法定代表人或授权代表（签字）：______</w:t>
      </w:r>
    </w:p>
    <w:p w14:paraId="487B170F">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签订日期：______年____月____日</w:t>
      </w:r>
    </w:p>
    <w:p w14:paraId="5BF1C90B">
      <w:pPr>
        <w:keepNext w:val="0"/>
        <w:keepLines w:val="0"/>
        <w:pageBreakBefore w:val="0"/>
        <w:numPr>
          <w:ilvl w:val="0"/>
          <w:numId w:val="0"/>
        </w:numPr>
        <w:kinsoku/>
        <w:wordWrap/>
        <w:overflowPunct/>
        <w:topLinePunct w:val="0"/>
        <w:bidi w:val="0"/>
        <w:spacing w:line="360" w:lineRule="auto"/>
        <w:ind w:left="0" w:leftChars="0" w:firstLine="480" w:firstLineChars="200"/>
        <w:jc w:val="center"/>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 xml:space="preserve"> </w:t>
      </w:r>
    </w:p>
    <w:p w14:paraId="32196685">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乙方（盖章）：__________________</w:t>
      </w:r>
    </w:p>
    <w:p w14:paraId="60FA1D30">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法定代表人或授权代表（签字）：______</w:t>
      </w:r>
    </w:p>
    <w:p w14:paraId="1C111A5E">
      <w:pPr>
        <w:pStyle w:val="44"/>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仿宋" w:hAnsi="仿宋" w:eastAsia="仿宋" w:cs="仿宋"/>
          <w:color w:val="auto"/>
          <w:kern w:val="2"/>
          <w:sz w:val="24"/>
          <w:szCs w:val="24"/>
          <w:u w:val="none"/>
          <w:lang w:val="en-US" w:eastAsia="zh-CN" w:bidi="ar-SA"/>
        </w:rPr>
        <w:t>签订日期：______年____月____日</w:t>
      </w:r>
      <w:r>
        <w:rPr>
          <w:rFonts w:hint="eastAsia" w:ascii="仿宋" w:hAnsi="仿宋" w:eastAsia="仿宋" w:cs="仿宋"/>
          <w:color w:val="auto"/>
          <w:kern w:val="2"/>
          <w:sz w:val="24"/>
          <w:szCs w:val="24"/>
          <w:u w:val="none"/>
          <w:lang w:val="en-US" w:eastAsia="zh-CN" w:bidi="ar-SA"/>
        </w:rPr>
        <w:br w:type="page"/>
      </w:r>
    </w:p>
    <w:p w14:paraId="530710E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247D947B">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SZRFYZB202412-220</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西咸院区新能源汽车充电桩安装项目</w:t>
      </w:r>
    </w:p>
    <w:p w14:paraId="2259B336">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93EC943">
      <w:pPr>
        <w:pStyle w:val="2"/>
        <w:rPr>
          <w:rStyle w:val="32"/>
          <w:rFonts w:hint="eastAsia" w:ascii="宋体" w:hAnsi="宋体" w:eastAsia="宋体" w:cs="宋体"/>
          <w:color w:val="000000"/>
          <w:kern w:val="0"/>
          <w:sz w:val="24"/>
          <w:szCs w:val="24"/>
          <w:highlight w:val="none"/>
        </w:rPr>
      </w:pPr>
    </w:p>
    <w:p w14:paraId="0E7B490D">
      <w:pPr>
        <w:rPr>
          <w:rStyle w:val="32"/>
          <w:rFonts w:hint="eastAsia" w:ascii="宋体" w:hAnsi="宋体" w:eastAsia="宋体" w:cs="宋体"/>
          <w:color w:val="000000"/>
          <w:kern w:val="0"/>
          <w:sz w:val="24"/>
          <w:szCs w:val="24"/>
          <w:highlight w:val="none"/>
        </w:rPr>
      </w:pPr>
    </w:p>
    <w:p w14:paraId="247CCDEB">
      <w:pPr>
        <w:pStyle w:val="2"/>
        <w:rPr>
          <w:rFonts w:hint="eastAsia"/>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88D1AD3">
      <w:pPr>
        <w:pStyle w:val="2"/>
        <w:rPr>
          <w:rFonts w:hint="eastAsia"/>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西咸院区新能源汽车充电桩安装项目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SZRFYZB202412-220</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6A73A30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1AB8EBF5">
      <w:pPr>
        <w:keepNext w:val="0"/>
        <w:keepLines w:val="0"/>
        <w:pageBreakBefore w:val="0"/>
        <w:kinsoku/>
        <w:wordWrap/>
        <w:overflowPunct/>
        <w:topLinePunct w:val="0"/>
        <w:bidi w:val="0"/>
        <w:spacing w:line="360" w:lineRule="auto"/>
        <w:ind w:left="479" w:leftChars="228" w:right="0" w:firstLine="0" w:firstLineChars="0"/>
        <w:textAlignment w:val="auto"/>
        <w:rPr>
          <w:rStyle w:val="32"/>
          <w:rFonts w:hint="eastAsia" w:ascii="宋体" w:hAnsi="宋体" w:eastAsia="宋体" w:cs="宋体"/>
          <w:sz w:val="24"/>
          <w:szCs w:val="24"/>
          <w:highlight w:val="none"/>
        </w:rPr>
      </w:pPr>
      <w:bookmarkStart w:id="8" w:name="_Toc194663926"/>
      <w:bookmarkStart w:id="9" w:name="_Toc188808840"/>
      <w:bookmarkStart w:id="10" w:name="_Toc193187105"/>
      <w:bookmarkStart w:id="11" w:name="_Toc193126889"/>
      <w:r>
        <w:rPr>
          <w:rStyle w:val="32"/>
          <w:rFonts w:hint="eastAsia" w:ascii="宋体" w:hAnsi="宋体" w:eastAsia="宋体" w:cs="宋体"/>
          <w:sz w:val="24"/>
          <w:szCs w:val="24"/>
          <w:highlight w:val="none"/>
        </w:rPr>
        <w:t>项目名称：陕西中医药大学第二附属医院</w:t>
      </w:r>
      <w:r>
        <w:rPr>
          <w:rStyle w:val="32"/>
          <w:rFonts w:hint="eastAsia" w:ascii="宋体" w:hAnsi="宋体" w:cs="宋体"/>
          <w:sz w:val="24"/>
          <w:szCs w:val="24"/>
          <w:highlight w:val="none"/>
          <w:lang w:val="en-US" w:eastAsia="zh-CN"/>
        </w:rPr>
        <w:t>西咸院区新能源汽车充电桩安装项目</w:t>
      </w:r>
      <w:r>
        <w:rPr>
          <w:rStyle w:val="32"/>
          <w:rFonts w:hint="eastAsia" w:ascii="宋体" w:hAnsi="宋体" w:eastAsia="宋体" w:cs="宋体"/>
          <w:sz w:val="24"/>
          <w:szCs w:val="24"/>
          <w:highlight w:val="none"/>
        </w:rPr>
        <w:t>；</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SZRFYZB202412-220</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6356"/>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591"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356"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91" w:type="dxa"/>
            <w:noWrap w:val="0"/>
            <w:vAlign w:val="center"/>
          </w:tcPr>
          <w:p w14:paraId="0072970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报价合计</w:t>
            </w:r>
          </w:p>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（给予医院分成比例）</w:t>
            </w:r>
          </w:p>
        </w:tc>
        <w:tc>
          <w:tcPr>
            <w:tcW w:w="6356" w:type="dxa"/>
            <w:noWrap w:val="0"/>
            <w:vAlign w:val="center"/>
          </w:tcPr>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591"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356"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0"/>
        <w:rPr>
          <w:rFonts w:hint="eastAsia" w:ascii="宋体" w:hAnsi="宋体" w:eastAsia="宋体" w:cs="宋体"/>
          <w:sz w:val="24"/>
          <w:szCs w:val="24"/>
          <w:highlight w:val="none"/>
          <w:lang w:val="en-US" w:eastAsia="zh-CN"/>
        </w:rPr>
      </w:pPr>
    </w:p>
    <w:p w14:paraId="4984BAE9">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4FEED568">
      <w:pPr>
        <w:keepNext w:val="0"/>
        <w:keepLines w:val="0"/>
        <w:pageBreakBefore w:val="0"/>
        <w:kinsoku/>
        <w:wordWrap/>
        <w:overflowPunct/>
        <w:topLinePunct w:val="0"/>
        <w:bidi w:val="0"/>
        <w:spacing w:line="360" w:lineRule="auto"/>
        <w:ind w:left="479" w:leftChars="228" w:right="0" w:firstLine="0" w:firstLineChars="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项目名称：陕西中医药大学第二附属医院</w:t>
      </w:r>
      <w:r>
        <w:rPr>
          <w:rStyle w:val="32"/>
          <w:rFonts w:hint="eastAsia" w:ascii="宋体" w:hAnsi="宋体" w:cs="宋体"/>
          <w:sz w:val="24"/>
          <w:szCs w:val="24"/>
          <w:highlight w:val="none"/>
          <w:lang w:val="en-US" w:eastAsia="zh-CN"/>
        </w:rPr>
        <w:t>西咸院区新能源汽车充电桩安装项目</w:t>
      </w:r>
      <w:r>
        <w:rPr>
          <w:rStyle w:val="32"/>
          <w:rFonts w:hint="eastAsia" w:ascii="宋体" w:hAnsi="宋体" w:eastAsia="宋体" w:cs="宋体"/>
          <w:sz w:val="24"/>
          <w:szCs w:val="24"/>
          <w:highlight w:val="none"/>
        </w:rPr>
        <w:t>；</w:t>
      </w:r>
    </w:p>
    <w:p w14:paraId="17208A9E">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bCs/>
          <w:sz w:val="24"/>
          <w:szCs w:val="24"/>
          <w:highlight w:val="none"/>
          <w:lang w:eastAsia="zh-CN"/>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SZRFYZB202412-220</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87103"/>
      <w:bookmarkStart w:id="14" w:name="_Toc194663924"/>
      <w:bookmarkStart w:id="15"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93B97A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9019497"/>
      <w:bookmarkStart w:id="17" w:name="_Toc47261885"/>
      <w:bookmarkStart w:id="18" w:name="_Toc48995851"/>
      <w:bookmarkStart w:id="19" w:name="_Toc47261690"/>
      <w:bookmarkStart w:id="20" w:name="_Toc47418938"/>
      <w:bookmarkStart w:id="21" w:name="_Toc47262069"/>
      <w:bookmarkStart w:id="22" w:name="_Toc48791235"/>
      <w:bookmarkStart w:id="23" w:name="_Toc193126888"/>
      <w:bookmarkStart w:id="24" w:name="_Toc193187104"/>
      <w:bookmarkStart w:id="25" w:name="_Toc47418255"/>
      <w:bookmarkStart w:id="26" w:name="_Toc47418731"/>
      <w:bookmarkStart w:id="27" w:name="_Toc49019236"/>
      <w:bookmarkStart w:id="28" w:name="_Toc188808839"/>
      <w:bookmarkStart w:id="29" w:name="_Toc194663925"/>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6"/>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6"/>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6"/>
        <w:rPr>
          <w:rFonts w:hint="eastAsia" w:ascii="宋体" w:hAnsi="宋体" w:eastAsia="宋体" w:cs="宋体"/>
          <w:sz w:val="24"/>
          <w:szCs w:val="24"/>
          <w:lang w:val="en-US" w:eastAsia="zh-CN"/>
        </w:rPr>
      </w:pPr>
    </w:p>
    <w:p w14:paraId="10D7F8D7">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5E5913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9323AF9">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6"/>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6"/>
        <w:rPr>
          <w:rFonts w:hint="eastAsia"/>
        </w:rPr>
      </w:pPr>
    </w:p>
    <w:p w14:paraId="2FE3999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5591"/>
      <w:bookmarkStart w:id="32" w:name="_Toc18044"/>
      <w:bookmarkStart w:id="33" w:name="_Toc19326"/>
      <w:bookmarkStart w:id="34" w:name="_Toc12408"/>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4050"/>
      <w:bookmarkStart w:id="38" w:name="_Toc2556"/>
      <w:bookmarkStart w:id="39" w:name="_Toc724"/>
      <w:bookmarkStart w:id="40" w:name="_Toc15794"/>
      <w:bookmarkStart w:id="41" w:name="_Toc5624"/>
      <w:bookmarkStart w:id="42" w:name="_Toc7264"/>
      <w:bookmarkStart w:id="43"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西咸院区新能源汽车充电桩安装项目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西咸院区新能源汽车充电桩安装项目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SZRFYZB202412-220</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6"/>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6"/>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19"/>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19"/>
        <w:rPr>
          <w:rFonts w:hint="eastAsia" w:ascii="宋体" w:hAnsi="宋体" w:eastAsia="宋体" w:cs="宋体"/>
          <w:color w:val="000000" w:themeColor="text1"/>
          <w:sz w:val="24"/>
          <w:szCs w:val="24"/>
          <w:highlight w:val="none"/>
          <w14:textFill>
            <w14:solidFill>
              <w14:schemeClr w14:val="tx1"/>
            </w14:solidFill>
          </w14:textFill>
        </w:rPr>
      </w:pPr>
    </w:p>
    <w:p w14:paraId="26CFA870">
      <w:pPr>
        <w:pStyle w:val="6"/>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007"/>
      <w:bookmarkStart w:id="48" w:name="_Toc15773"/>
      <w:bookmarkStart w:id="49" w:name="_Toc25983"/>
      <w:bookmarkStart w:id="50" w:name="_Toc13090"/>
      <w:bookmarkStart w:id="51" w:name="_Toc14564"/>
      <w:bookmarkStart w:id="52" w:name="_Toc23076"/>
      <w:bookmarkStart w:id="53" w:name="_Toc12264"/>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1260"/>
      <w:bookmarkStart w:id="55" w:name="_Toc22023"/>
      <w:bookmarkStart w:id="56" w:name="_Toc26760"/>
      <w:bookmarkStart w:id="57" w:name="_Toc10651"/>
      <w:bookmarkStart w:id="58" w:name="_Toc15131"/>
      <w:bookmarkStart w:id="59" w:name="_Toc952"/>
      <w:bookmarkStart w:id="60" w:name="_Toc11275"/>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2"/>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2"/>
        <w:ind w:firstLine="0"/>
        <w:rPr>
          <w:rFonts w:ascii="仿宋" w:hAnsi="仿宋" w:eastAsia="仿宋" w:cs="仿宋"/>
          <w:color w:val="000000" w:themeColor="text1"/>
          <w:highlight w:val="none"/>
          <w14:textFill>
            <w14:solidFill>
              <w14:schemeClr w14:val="tx1"/>
            </w14:solidFill>
          </w14:textFill>
        </w:rPr>
      </w:pPr>
    </w:p>
    <w:p w14:paraId="478411A8">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2"/>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西咸院区新能源汽车充电桩安装项目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SZRFYZB202412-220</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6"/>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6"/>
        <w:rPr>
          <w:rFonts w:hint="eastAsia"/>
        </w:rPr>
      </w:pPr>
    </w:p>
    <w:p w14:paraId="7CB1DAA6">
      <w:pPr>
        <w:pStyle w:val="2"/>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2306A6C3">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B2A973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59A6721">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3"/>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3"/>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3"/>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4"/>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4"/>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4"/>
      <w:pBdr>
        <w:bottom w:val="none" w:color="auto" w:sz="0" w:space="0"/>
      </w:pBdr>
      <w:jc w:val="both"/>
      <w:rPr>
        <w:rFonts w:hint="default"/>
        <w:sz w:val="15"/>
        <w:szCs w:val="15"/>
        <w:u w:val="single"/>
        <w:lang w:val="en-US"/>
      </w:rPr>
    </w:pPr>
    <w:r>
      <w:rPr>
        <w:rFonts w:hint="eastAsia" w:ascii="宋体" w:hAnsi="宋体" w:eastAsia="宋体" w:cs="宋体"/>
        <w:sz w:val="21"/>
        <w:szCs w:val="21"/>
        <w:highlight w:val="none"/>
        <w:u w:val="single"/>
      </w:rPr>
      <w:t>陕西中医药大学第二附属医西咸院区新能源汽车充电桩安装项目</w:t>
    </w:r>
    <w:r>
      <w:rPr>
        <w:rFonts w:hint="eastAsia" w:ascii="宋体" w:hAnsi="宋体" w:cs="宋体"/>
        <w:sz w:val="21"/>
        <w:szCs w:val="21"/>
        <w:highlight w:val="none"/>
        <w:u w:val="single"/>
        <w:lang w:val="en-US" w:eastAsia="zh-CN"/>
      </w:rPr>
      <w:t xml:space="preserve">          竞争性磋商文件</w:t>
    </w:r>
  </w:p>
  <w:p w14:paraId="31CBF51E">
    <w:pPr>
      <w:pStyle w:val="14"/>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AF7DAFFE"/>
    <w:multiLevelType w:val="singleLevel"/>
    <w:tmpl w:val="AF7DAFFE"/>
    <w:lvl w:ilvl="0" w:tentative="0">
      <w:start w:val="1"/>
      <w:numFmt w:val="decimal"/>
      <w:lvlText w:val="%1."/>
      <w:lvlJc w:val="left"/>
      <w:pPr>
        <w:tabs>
          <w:tab w:val="left" w:pos="312"/>
        </w:tabs>
      </w:pPr>
    </w:lvl>
  </w:abstractNum>
  <w:abstractNum w:abstractNumId="2">
    <w:nsid w:val="0DD754ED"/>
    <w:multiLevelType w:val="singleLevel"/>
    <w:tmpl w:val="0DD754E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1A3112"/>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2A3796"/>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A073DC"/>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B52532F"/>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7442E9"/>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8F11CA0"/>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34AAC"/>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2"/>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kern w:val="0"/>
      <w:sz w:val="20"/>
    </w:rPr>
  </w:style>
  <w:style w:type="paragraph" w:styleId="7">
    <w:name w:val="annotation text"/>
    <w:basedOn w:val="1"/>
    <w:link w:val="30"/>
    <w:qFormat/>
    <w:uiPriority w:val="0"/>
    <w:pPr>
      <w:jc w:val="left"/>
    </w:pPr>
  </w:style>
  <w:style w:type="paragraph" w:styleId="8">
    <w:name w:val="Body Text"/>
    <w:basedOn w:val="1"/>
    <w:next w:val="1"/>
    <w:qFormat/>
    <w:uiPriority w:val="99"/>
    <w:pPr>
      <w:tabs>
        <w:tab w:val="left" w:pos="7290"/>
      </w:tabs>
    </w:pPr>
    <w:rPr>
      <w:b/>
      <w:u w:val="single"/>
    </w:rPr>
  </w:style>
  <w:style w:type="paragraph" w:styleId="9">
    <w:name w:val="Body Text Indent"/>
    <w:basedOn w:val="1"/>
    <w:qFormat/>
    <w:uiPriority w:val="0"/>
    <w:pPr>
      <w:spacing w:after="120"/>
      <w:ind w:left="420" w:leftChars="200"/>
    </w:pPr>
    <w:rPr>
      <w:rFonts w:ascii="Times New Roman" w:hAnsi="Times New Roman" w:eastAsia="宋体" w:cs="Times New Roman"/>
    </w:rPr>
  </w:style>
  <w:style w:type="paragraph" w:styleId="10">
    <w:name w:val="Plain Text"/>
    <w:basedOn w:val="1"/>
    <w:qFormat/>
    <w:uiPriority w:val="0"/>
    <w:rPr>
      <w:rFonts w:hAnsi="Courier New"/>
      <w:kern w:val="2"/>
      <w:sz w:val="21"/>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39"/>
    <w:pPr>
      <w:spacing w:line="440" w:lineRule="exact"/>
      <w:ind w:left="840"/>
      <w:jc w:val="left"/>
    </w:pPr>
    <w:rPr>
      <w:rFonts w:ascii="Calibri" w:hAnsi="Calibri"/>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7"/>
    <w:next w:val="7"/>
    <w:link w:val="31"/>
    <w:qFormat/>
    <w:uiPriority w:val="0"/>
    <w:rPr>
      <w:b/>
      <w:bCs/>
    </w:rPr>
  </w:style>
  <w:style w:type="paragraph" w:styleId="19">
    <w:name w:val="Body Text First Indent"/>
    <w:basedOn w:val="8"/>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9"/>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7"/>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5"/>
    <w:qFormat/>
    <w:uiPriority w:val="99"/>
    <w:pPr>
      <w:jc w:val="left"/>
    </w:pPr>
  </w:style>
  <w:style w:type="paragraph" w:customStyle="1" w:styleId="44">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7988</Words>
  <Characters>8445</Characters>
  <Paragraphs>503</Paragraphs>
  <TotalTime>1</TotalTime>
  <ScaleCrop>false</ScaleCrop>
  <LinksUpToDate>false</LinksUpToDate>
  <CharactersWithSpaces>8697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2025-01-20T00:56:25Z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B5FB2276A9304ED3B380C012FB3E8F04_13</vt:lpwstr>
  </property>
  <property fmtid="{D5CDD505-2E9C-101B-9397-08002B2CF9AE}" pid="4" name="KSOTemplateDocerSaveRecord">
    <vt:lpwstr>eyJoZGlkIjoiNDlhNTk3M2EwMWRjYjU0YWZlOWE2NGFkMGM1MzI3OGEiLCJ1c2VySWQiOiIxMDE0MjEyNzExIn0=</vt:lpwstr>
  </property>
</Properties>
</file>