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SZRFYZB202412-232</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84F888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D04F607">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225590A">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7795CA6">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秦都院区外网无线网络覆盖项目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C1A6D9">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D8E987E">
      <w:pPr>
        <w:pStyle w:val="20"/>
        <w:rPr>
          <w:rFonts w:hint="eastAsia"/>
        </w:rPr>
      </w:pPr>
    </w:p>
    <w:p w14:paraId="2E2040DF">
      <w:pPr>
        <w:pStyle w:val="2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3B61DD27">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30314257">
      <w:pPr>
        <w:pStyle w:val="20"/>
        <w:rPr>
          <w:rFonts w:hint="eastAsia"/>
          <w:highlight w:val="none"/>
        </w:rPr>
      </w:pPr>
    </w:p>
    <w:p w14:paraId="16A0103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2694AF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秦都院区外网无线网络覆盖项目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秦都院区外网无线网络覆盖项目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49</w:t>
      </w:r>
      <w:r>
        <w:rPr>
          <w:rStyle w:val="32"/>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bookmarkStart w:id="61" w:name="_GoBack"/>
      <w:bookmarkEnd w:id="61"/>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b w:val="0"/>
          <w:bCs w:val="0"/>
          <w:color w:val="auto"/>
          <w:sz w:val="24"/>
          <w:szCs w:val="24"/>
          <w:highlight w:val="none"/>
          <w:lang w:val="en-US" w:eastAsia="zh-CN"/>
        </w:rPr>
        <w:t>029-33350309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祝</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6C8C580">
      <w:pPr>
        <w:pStyle w:val="9"/>
        <w:rPr>
          <w:rStyle w:val="32"/>
          <w:rFonts w:hint="eastAsia" w:ascii="宋体" w:hAnsi="宋体" w:eastAsia="宋体" w:cs="宋体"/>
          <w:b/>
          <w:sz w:val="24"/>
          <w:szCs w:val="24"/>
          <w:highlight w:val="none"/>
        </w:rPr>
      </w:pPr>
    </w:p>
    <w:p w14:paraId="52F51A6C">
      <w:pPr>
        <w:rPr>
          <w:rStyle w:val="32"/>
          <w:rFonts w:hint="eastAsia" w:ascii="宋体" w:hAnsi="宋体" w:eastAsia="宋体" w:cs="宋体"/>
          <w:b/>
          <w:sz w:val="24"/>
          <w:szCs w:val="24"/>
          <w:highlight w:val="none"/>
        </w:rPr>
      </w:pPr>
    </w:p>
    <w:p w14:paraId="313B0F44">
      <w:pPr>
        <w:pStyle w:val="9"/>
        <w:rPr>
          <w:rStyle w:val="32"/>
          <w:rFonts w:hint="eastAsia" w:ascii="宋体" w:hAnsi="宋体" w:eastAsia="宋体" w:cs="宋体"/>
          <w:b/>
          <w:sz w:val="24"/>
          <w:szCs w:val="24"/>
          <w:highlight w:val="none"/>
        </w:rPr>
      </w:pPr>
    </w:p>
    <w:p w14:paraId="4C5EC794">
      <w:pPr>
        <w:rPr>
          <w:rStyle w:val="32"/>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160BBA">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1B60C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1、服务范围：陕西中医药大学第二附属医院(秦都院区)</w:t>
      </w:r>
    </w:p>
    <w:p w14:paraId="271A29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2、技术参数：</w:t>
      </w:r>
    </w:p>
    <w:tbl>
      <w:tblPr>
        <w:tblStyle w:val="2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34"/>
        <w:gridCol w:w="5386"/>
        <w:gridCol w:w="680"/>
        <w:gridCol w:w="680"/>
      </w:tblGrid>
      <w:tr w14:paraId="692F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6" w:type="dxa"/>
            <w:tcBorders>
              <w:tl2br w:val="nil"/>
              <w:tr2bl w:val="nil"/>
            </w:tcBorders>
            <w:noWrap/>
            <w:vAlign w:val="center"/>
          </w:tcPr>
          <w:p w14:paraId="20025005">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序号</w:t>
            </w:r>
          </w:p>
        </w:tc>
        <w:tc>
          <w:tcPr>
            <w:tcW w:w="1134" w:type="dxa"/>
            <w:tcBorders>
              <w:tl2br w:val="nil"/>
              <w:tr2bl w:val="nil"/>
            </w:tcBorders>
            <w:noWrap/>
            <w:vAlign w:val="center"/>
          </w:tcPr>
          <w:p w14:paraId="4AEFD1A6">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产品名称</w:t>
            </w:r>
          </w:p>
        </w:tc>
        <w:tc>
          <w:tcPr>
            <w:tcW w:w="5386" w:type="dxa"/>
            <w:tcBorders>
              <w:tl2br w:val="nil"/>
              <w:tr2bl w:val="nil"/>
            </w:tcBorders>
            <w:noWrap/>
            <w:vAlign w:val="center"/>
          </w:tcPr>
          <w:p w14:paraId="3C99EC53">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技术参数</w:t>
            </w:r>
          </w:p>
        </w:tc>
        <w:tc>
          <w:tcPr>
            <w:tcW w:w="680" w:type="dxa"/>
            <w:tcBorders>
              <w:tl2br w:val="nil"/>
              <w:tr2bl w:val="nil"/>
            </w:tcBorders>
            <w:noWrap/>
            <w:vAlign w:val="center"/>
          </w:tcPr>
          <w:p w14:paraId="72B9B77B">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单位</w:t>
            </w:r>
          </w:p>
        </w:tc>
        <w:tc>
          <w:tcPr>
            <w:tcW w:w="680" w:type="dxa"/>
            <w:tcBorders>
              <w:tl2br w:val="nil"/>
              <w:tr2bl w:val="nil"/>
            </w:tcBorders>
            <w:noWrap/>
            <w:vAlign w:val="center"/>
          </w:tcPr>
          <w:p w14:paraId="59CF8314">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数量</w:t>
            </w:r>
          </w:p>
        </w:tc>
      </w:tr>
      <w:tr w14:paraId="740D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1083D2D1">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c>
          <w:tcPr>
            <w:tcW w:w="1134" w:type="dxa"/>
            <w:tcBorders>
              <w:tl2br w:val="nil"/>
              <w:tr2bl w:val="nil"/>
            </w:tcBorders>
            <w:noWrap/>
            <w:vAlign w:val="center"/>
          </w:tcPr>
          <w:p w14:paraId="0B820DE5">
            <w:pPr>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吸顶无线AP</w:t>
            </w:r>
          </w:p>
        </w:tc>
        <w:tc>
          <w:tcPr>
            <w:tcW w:w="5386" w:type="dxa"/>
            <w:tcBorders>
              <w:tl2br w:val="nil"/>
              <w:tr2bl w:val="nil"/>
            </w:tcBorders>
            <w:noWrap/>
            <w:vAlign w:val="center"/>
          </w:tcPr>
          <w:p w14:paraId="2B2CA69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1、放装AP,内置智能天线；</w:t>
            </w:r>
          </w:p>
          <w:p w14:paraId="09459D79">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2、使用国产化Wi-Fi芯片；</w:t>
            </w:r>
          </w:p>
          <w:p w14:paraId="2E463F89">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3、支持802.11a/b/g/n/ac/ax协议；</w:t>
            </w:r>
          </w:p>
          <w:p w14:paraId="56606E9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 2.4GHz/5GHz双射频同时工作2.4G频段和5G频段，全频段支持802.11，总空间流数≥4,整机速率≥3.5Gbps；</w:t>
            </w:r>
          </w:p>
          <w:p w14:paraId="6B7068F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5、2.5G 电口≥1个；</w:t>
            </w:r>
          </w:p>
          <w:p w14:paraId="5E790C4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6、USB 接口≥1 个，可用于扩展外置物联网；</w:t>
            </w:r>
          </w:p>
          <w:p w14:paraId="29EBD54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7、内置蓝牙，支持蓝牙串口运维；</w:t>
            </w:r>
          </w:p>
          <w:p w14:paraId="193F891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8、支持自适应带宽管理，自动根据用户数量、环境等因素动态调整用户带宽分配，改善用户体验；</w:t>
            </w:r>
          </w:p>
          <w:p w14:paraId="400596D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9、提供但不限于第三方认证报告、技术白皮书等佐证资料</w:t>
            </w:r>
          </w:p>
        </w:tc>
        <w:tc>
          <w:tcPr>
            <w:tcW w:w="680" w:type="dxa"/>
            <w:tcBorders>
              <w:tl2br w:val="nil"/>
              <w:tr2bl w:val="nil"/>
            </w:tcBorders>
            <w:noWrap w:val="0"/>
            <w:vAlign w:val="center"/>
          </w:tcPr>
          <w:p w14:paraId="448E438A">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3FF9D8CE">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110</w:t>
            </w:r>
          </w:p>
        </w:tc>
      </w:tr>
      <w:tr w14:paraId="40AF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4B845895">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w:t>
            </w:r>
          </w:p>
        </w:tc>
        <w:tc>
          <w:tcPr>
            <w:tcW w:w="1134" w:type="dxa"/>
            <w:tcBorders>
              <w:tl2br w:val="nil"/>
              <w:tr2bl w:val="nil"/>
            </w:tcBorders>
            <w:noWrap/>
            <w:vAlign w:val="center"/>
          </w:tcPr>
          <w:p w14:paraId="3D14BC27">
            <w:pPr>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高密吸顶AP</w:t>
            </w:r>
          </w:p>
        </w:tc>
        <w:tc>
          <w:tcPr>
            <w:tcW w:w="5386" w:type="dxa"/>
            <w:tcBorders>
              <w:tl2br w:val="nil"/>
              <w:tr2bl w:val="nil"/>
            </w:tcBorders>
            <w:noWrap/>
            <w:vAlign w:val="center"/>
          </w:tcPr>
          <w:p w14:paraId="6473AE6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1、放装AP,内置智能天线；</w:t>
            </w:r>
          </w:p>
          <w:p w14:paraId="1396469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2、使用国产化Wi-Fi芯片；</w:t>
            </w:r>
          </w:p>
          <w:p w14:paraId="728F7AF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 802.11a/b/g/n/ac/ax协议；</w:t>
            </w:r>
          </w:p>
          <w:p w14:paraId="73A2382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4、支持三射频 2.4GHz(2x2) + 5GHz(2x2) + 5GHz(4x4)同时工作，全频段支持802.11be，总空间流数≥8,整机速率≥9.3Gbps；</w:t>
            </w:r>
          </w:p>
          <w:p w14:paraId="5607BDA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5、5G 电口≥1个，1G 电口≥1个，支持Poe out，可用于扩展物联网；</w:t>
            </w:r>
          </w:p>
          <w:p w14:paraId="4D711F8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6、USB 接口≥1 个，可用于扩展外置物联网；</w:t>
            </w:r>
          </w:p>
          <w:p w14:paraId="18B0115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7、内置蓝牙，支持蓝牙串口运维；</w:t>
            </w:r>
          </w:p>
          <w:p w14:paraId="06F6795F">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8、支持自适应带宽管理，自动根据用户数量、环境等因素动态调整用户带宽分配，改善用户体验；</w:t>
            </w:r>
          </w:p>
          <w:p w14:paraId="6BA9D6C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9、提供但不限于第三方认证报告、技术白皮书等佐证资料</w:t>
            </w:r>
          </w:p>
        </w:tc>
        <w:tc>
          <w:tcPr>
            <w:tcW w:w="680" w:type="dxa"/>
            <w:tcBorders>
              <w:tl2br w:val="nil"/>
              <w:tr2bl w:val="nil"/>
            </w:tcBorders>
            <w:noWrap w:val="0"/>
            <w:vAlign w:val="center"/>
          </w:tcPr>
          <w:p w14:paraId="7DCF74B0">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4035C3DB">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596A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08FE6A00">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w:t>
            </w:r>
          </w:p>
        </w:tc>
        <w:tc>
          <w:tcPr>
            <w:tcW w:w="1134" w:type="dxa"/>
            <w:tcBorders>
              <w:tl2br w:val="nil"/>
              <w:tr2bl w:val="nil"/>
            </w:tcBorders>
            <w:noWrap/>
            <w:vAlign w:val="center"/>
          </w:tcPr>
          <w:p w14:paraId="069126DD">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POE</w:t>
            </w:r>
          </w:p>
          <w:p w14:paraId="3DD0DE8C">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交换机</w:t>
            </w:r>
          </w:p>
        </w:tc>
        <w:tc>
          <w:tcPr>
            <w:tcW w:w="5386" w:type="dxa"/>
            <w:tcBorders>
              <w:tl2br w:val="nil"/>
              <w:tr2bl w:val="nil"/>
            </w:tcBorders>
            <w:noWrap/>
            <w:vAlign w:val="center"/>
          </w:tcPr>
          <w:p w14:paraId="779C08DD">
            <w:pPr>
              <w:spacing w:before="60" w:after="60" w:line="240" w:lineRule="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▲1、交换容量≥336Gbps，包转发率≥102Mpps；</w:t>
            </w:r>
          </w:p>
          <w:p w14:paraId="4889DC4E">
            <w:pPr>
              <w:spacing w:before="60" w:after="60" w:line="240" w:lineRule="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2、8 个 10/100/1000BASE-T 以太网端口，4 个千兆 SFP；</w:t>
            </w:r>
          </w:p>
          <w:p w14:paraId="45308F54">
            <w:pPr>
              <w:spacing w:before="60" w:after="60" w:line="240" w:lineRule="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3、支持802.3at POE+功能；</w:t>
            </w:r>
          </w:p>
          <w:p w14:paraId="1A0FAD97">
            <w:pPr>
              <w:spacing w:before="60" w:after="60" w:line="240" w:lineRule="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4、支持快速POE和永久PoE功能，当交换机电源上电时，支持秒级实现对PD设备的供电；交换机升级等操作重启时，对下挂的PD设备供电不会中断；</w:t>
            </w:r>
          </w:p>
          <w:p w14:paraId="02C55B6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5、支持4K个VLAN，支持Voice VLAN，基于端口的VLAN，基于MAC的VLAN，基于协议的VLAN，支持Smart link支持 1:1 和 N:1 VLAN Mapping 功能；</w:t>
            </w:r>
          </w:p>
          <w:p w14:paraId="539CF9C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6、支持RIP、RIPng、OSPF、OSPFv3路由协议；</w:t>
            </w:r>
          </w:p>
          <w:p w14:paraId="6FD7574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7、支持IPv4 FIB表项≥4K ，支持IPv6 FIB表项≥1K；</w:t>
            </w:r>
          </w:p>
          <w:p w14:paraId="5B999318">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8、支持IGMP v1/v2/v3 Snooping；</w:t>
            </w:r>
          </w:p>
          <w:p w14:paraId="68B2D9E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9、支持VLAN内组播转发和组播多VLAN复制；</w:t>
            </w:r>
          </w:p>
          <w:p w14:paraId="6798EE0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10、支持捆绑端口的组播负载分担；</w:t>
            </w:r>
          </w:p>
          <w:p w14:paraId="53A94AAC">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11、支持防止DOS、ARP攻击功能、ICMP防攻击；</w:t>
            </w:r>
          </w:p>
          <w:p w14:paraId="118A444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12、支持端口隔离、端口安全、Sticky MAC；</w:t>
            </w:r>
          </w:p>
          <w:p w14:paraId="137E01F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13、支持 IP、MAC、端口、VLAN的组合绑定；</w:t>
            </w:r>
          </w:p>
          <w:p w14:paraId="05F4671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14、支持DHCP Snooping，DHCPv6 Snooping等安全特性；</w:t>
            </w:r>
          </w:p>
          <w:p w14:paraId="7FA3209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15、支持以太网环网保护协议ERPS，故障倒换时间小于50ms ；</w:t>
            </w:r>
          </w:p>
          <w:p w14:paraId="2AF26D58">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16、支持纵向虚拟化，作为纵向子节点零配置即插即用；</w:t>
            </w:r>
          </w:p>
          <w:p w14:paraId="0D8A5538">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17、支持对端口接收报文速率和发送报文速率进行限制；</w:t>
            </w:r>
          </w:p>
          <w:p w14:paraId="6CEE004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18、支持SP、WRR、DRR、SP+WRR、SP+DRR等队列调度算法；</w:t>
            </w:r>
          </w:p>
          <w:p w14:paraId="7EC79CE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19、支持报文的802.1p和DSCP优先级重新标记；</w:t>
            </w:r>
          </w:p>
          <w:p w14:paraId="2EB980B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20、支持SNMP v1/v2/v3、Telnet、RMON；</w:t>
            </w:r>
          </w:p>
          <w:p w14:paraId="44A1D81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21、支持通过命令行、Web配置软件等方式进行配置和管理；</w:t>
            </w:r>
          </w:p>
          <w:p w14:paraId="46F0640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22、支持Telemetry技术，配合网络分析组件通过智能故障识别算法对网络数据进行分析，精准展现网络实时状态，并能及时有效地定界故障以及定位故障发生原因，发现影响用户体验的网络问题，精准保障用户体验；</w:t>
            </w:r>
          </w:p>
          <w:p w14:paraId="67AB753F">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23、支持本地管理和云盒两种方式，可以通过云管理平台对交换机进行云端配置、监控、巡检等，减少部署和运维的投入，降低网络的OPEX；</w:t>
            </w:r>
          </w:p>
          <w:p w14:paraId="45EF95D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24、支持 802.3az 能效以太网 EEE，节能环保；</w:t>
            </w:r>
          </w:p>
          <w:p w14:paraId="687C6CF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25、提供工信部入网证。</w:t>
            </w:r>
          </w:p>
        </w:tc>
        <w:tc>
          <w:tcPr>
            <w:tcW w:w="680" w:type="dxa"/>
            <w:tcBorders>
              <w:tl2br w:val="nil"/>
              <w:tr2bl w:val="nil"/>
            </w:tcBorders>
            <w:noWrap w:val="0"/>
            <w:vAlign w:val="center"/>
          </w:tcPr>
          <w:p w14:paraId="147E749C">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63653D03">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16</w:t>
            </w:r>
          </w:p>
        </w:tc>
      </w:tr>
      <w:tr w14:paraId="4499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6" w:type="dxa"/>
            <w:tcBorders>
              <w:tl2br w:val="nil"/>
              <w:tr2bl w:val="nil"/>
            </w:tcBorders>
            <w:noWrap/>
            <w:vAlign w:val="center"/>
          </w:tcPr>
          <w:p w14:paraId="02485B2E">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w:t>
            </w:r>
          </w:p>
        </w:tc>
        <w:tc>
          <w:tcPr>
            <w:tcW w:w="1134" w:type="dxa"/>
            <w:tcBorders>
              <w:tl2br w:val="nil"/>
              <w:tr2bl w:val="nil"/>
            </w:tcBorders>
            <w:noWrap/>
            <w:vAlign w:val="center"/>
          </w:tcPr>
          <w:p w14:paraId="09435412">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POE</w:t>
            </w:r>
          </w:p>
          <w:p w14:paraId="0027F434">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交换机</w:t>
            </w:r>
          </w:p>
        </w:tc>
        <w:tc>
          <w:tcPr>
            <w:tcW w:w="5386" w:type="dxa"/>
            <w:tcBorders>
              <w:tl2br w:val="nil"/>
              <w:tr2bl w:val="nil"/>
            </w:tcBorders>
            <w:noWrap/>
            <w:vAlign w:val="center"/>
          </w:tcPr>
          <w:p w14:paraId="3FD9BBE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▲1、交换容量≥336Gbps，包转发率≥126Mpps；</w:t>
            </w:r>
          </w:p>
          <w:p w14:paraId="64B6DDE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2、24 个 10/100/1000BASE-T 以太网端口，4 个千兆 SFP</w:t>
            </w:r>
          </w:p>
          <w:p w14:paraId="2CD9D3C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3、支持802.3at POE+功能</w:t>
            </w:r>
          </w:p>
          <w:p w14:paraId="2EDC364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4、支持快速POE和永久PoE功能，当交换机电源上电时，支持秒级实现对PD设备的供电；交换机升级等操作重启时，对下挂的PD设备供电不会中断</w:t>
            </w:r>
          </w:p>
          <w:p w14:paraId="684990E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5、支持4K个VLAN，支持Voice VLAN，基于端口的VLAN，基于MAC的VLAN，基于协议的VLAN，支持Smart link支持 1:1 和 N:1 VLAN Mapping 功能；</w:t>
            </w:r>
          </w:p>
          <w:p w14:paraId="2E0C0F6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6、支持RIP、RIPng、OSPF、OSPFv3路由协议；</w:t>
            </w:r>
          </w:p>
          <w:p w14:paraId="460FE2E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7、支持IPv4 FIB表项≥4K ，支持IPv6 FIB表项≥1K；</w:t>
            </w:r>
          </w:p>
          <w:p w14:paraId="3D922C9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8、支持IGMP v1/v2/v3 Snooping；</w:t>
            </w:r>
          </w:p>
          <w:p w14:paraId="66763AF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9、支持VLAN内组播转发和组播多VLAN复制；</w:t>
            </w:r>
          </w:p>
          <w:p w14:paraId="7A70305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10、支持捆绑端口的组播负载分担；</w:t>
            </w:r>
          </w:p>
          <w:p w14:paraId="2F97C564">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11、支持防止DOS、ARP攻击功能、ICMP防攻击；</w:t>
            </w:r>
          </w:p>
          <w:p w14:paraId="219F0CE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12、支持端口隔离、端口安全、Sticky MAC；</w:t>
            </w:r>
          </w:p>
          <w:p w14:paraId="39FECBFC">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13、支持 IP、MAC、端口、VLAN的组合绑定；</w:t>
            </w:r>
          </w:p>
          <w:p w14:paraId="6B3B676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14、支持DHCP Snooping，DHCPv6 Snooping等安全特性</w:t>
            </w:r>
          </w:p>
          <w:p w14:paraId="7FC36E3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15、支持以太网环网保护协议ERPS，故障倒换时间小于50ms ；</w:t>
            </w:r>
          </w:p>
          <w:p w14:paraId="04DB7619">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16、支持纵向虚拟化，作为纵向子节点零配置即插即用；</w:t>
            </w:r>
          </w:p>
          <w:p w14:paraId="496A0D5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17、支持对端口接收报文速率和发送报文速率进行限制；</w:t>
            </w:r>
          </w:p>
          <w:p w14:paraId="0C08E94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18、支持SP、WRR、DRR、SP+WRR、SP+DRR等队列调度算法；</w:t>
            </w:r>
          </w:p>
          <w:p w14:paraId="115AC0F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19、支持报文的802.1p和DSCP优先级重新标记；</w:t>
            </w:r>
          </w:p>
          <w:p w14:paraId="71D7141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20、支持SNMP v1/v2/v3、Telnet、RMON；</w:t>
            </w:r>
          </w:p>
          <w:p w14:paraId="506C127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21、支持通过命令行、Web配置软件等方式进行配置和管理；</w:t>
            </w:r>
          </w:p>
          <w:p w14:paraId="7BC01C8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22、支持Telemetry技术，配合网络分析组件通过智能故障识别算法对网络数据进行分析，精准展现网络实时状态，并能及时有效地定界故障以及定位故障发生原因，发现影响用户体验的网络问题，精准保障用户体验；</w:t>
            </w:r>
          </w:p>
          <w:p w14:paraId="56F2F73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23、支持本地管理和云盒两种方式，可以通过云管理平台对交换机进行云端配置、监控、巡检等，减少部署和运维的投入，降低网络的OPEX；</w:t>
            </w:r>
          </w:p>
          <w:p w14:paraId="5C10FAE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24、支持 802.3az 能效以太网 EEE，节能环保；</w:t>
            </w:r>
          </w:p>
          <w:p w14:paraId="5E071BFC">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25、提供工信部入网证。</w:t>
            </w:r>
          </w:p>
        </w:tc>
        <w:tc>
          <w:tcPr>
            <w:tcW w:w="680" w:type="dxa"/>
            <w:tcBorders>
              <w:tl2br w:val="nil"/>
              <w:tr2bl w:val="nil"/>
            </w:tcBorders>
            <w:noWrap w:val="0"/>
            <w:vAlign w:val="center"/>
          </w:tcPr>
          <w:p w14:paraId="3DEF3FB2">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3902E07B">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w:t>
            </w:r>
          </w:p>
        </w:tc>
      </w:tr>
      <w:tr w14:paraId="0964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69E99EDA">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w:t>
            </w:r>
          </w:p>
        </w:tc>
        <w:tc>
          <w:tcPr>
            <w:tcW w:w="1134" w:type="dxa"/>
            <w:tcBorders>
              <w:tl2br w:val="nil"/>
              <w:tr2bl w:val="nil"/>
            </w:tcBorders>
            <w:noWrap/>
            <w:vAlign w:val="center"/>
          </w:tcPr>
          <w:p w14:paraId="69A38970">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网管系统软件</w:t>
            </w:r>
          </w:p>
        </w:tc>
        <w:tc>
          <w:tcPr>
            <w:tcW w:w="5386" w:type="dxa"/>
            <w:tcBorders>
              <w:tl2br w:val="nil"/>
              <w:tr2bl w:val="nil"/>
            </w:tcBorders>
            <w:noWrap/>
            <w:vAlign w:val="center"/>
          </w:tcPr>
          <w:p w14:paraId="21EF3B9F">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1、系统使用B/S架构，支持使用WEB浏览器进行界面展示；</w:t>
            </w:r>
          </w:p>
          <w:p w14:paraId="23CF0E2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2、支持分权分域功能，为不同的用户、角色分配不同的设备管理范围和操作权限；</w:t>
            </w:r>
          </w:p>
          <w:p w14:paraId="549592B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3、支持跨厂商设备管理，支持管理华为、H3C、锐捷、思科、ZTE等的网络设备等主流厂商设备；</w:t>
            </w:r>
          </w:p>
          <w:p w14:paraId="470BE6D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4、支持将添加后的资源（如服务器、网络设备、存储设备等）进行分类和分组管理，用户通过配置不同的分组类型和分组将资源划分为不同类型以及不同分组；</w:t>
            </w:r>
          </w:p>
          <w:p w14:paraId="2A63138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5、支持根据网络设备类型、设备CPU利用率、内存使用率统计、接口流量、链路流量、端口使用率等信息统计报表；</w:t>
            </w:r>
          </w:p>
          <w:p w14:paraId="31946A8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6、支持对服务器名称、IP地址、在线状态、健康状态、类型、型号、描述、信息刷新时间等基本信息以及电源、风扇、CPU、内存、硬盘、主板、交换板等部件信息进行监控管理；</w:t>
            </w:r>
          </w:p>
          <w:p w14:paraId="7566686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7、支持三种北向接口（SNMP、FTP及Restful接口），可通过北向接口向上层系统提供告警、性能以及资源数据；</w:t>
            </w:r>
          </w:p>
          <w:p w14:paraId="345228F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多种南向接口类型，包括SNMP、STelnet、FTP（服务端）、SFTP（客户端/服务端）、IPMI、HTTP（客户端）/HTTPS（REST/Redfish客户端、服务端）、LwM2M、WebSocket、SocketPing、ICMP、WebPing、WebTrace、SSDP接口，方便管理多种设备类型；</w:t>
            </w:r>
          </w:p>
          <w:p w14:paraId="603C1DC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支持过滤显示拓扑视图、查看全景图等功能，用户可以及时监控所关注的拓扑节点状态和了解拓扑视图全貌，并支持用户在拓扑视图上添加图形、文本和容器等对拓扑对象进行可视化的组织、标记和描述，以方便运维管理</w:t>
            </w:r>
          </w:p>
        </w:tc>
        <w:tc>
          <w:tcPr>
            <w:tcW w:w="680" w:type="dxa"/>
            <w:tcBorders>
              <w:tl2br w:val="nil"/>
              <w:tr2bl w:val="nil"/>
            </w:tcBorders>
            <w:noWrap w:val="0"/>
            <w:vAlign w:val="center"/>
          </w:tcPr>
          <w:p w14:paraId="7CA7F799">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套</w:t>
            </w:r>
          </w:p>
        </w:tc>
        <w:tc>
          <w:tcPr>
            <w:tcW w:w="680" w:type="dxa"/>
            <w:tcBorders>
              <w:tl2br w:val="nil"/>
              <w:tr2bl w:val="nil"/>
            </w:tcBorders>
            <w:noWrap w:val="0"/>
            <w:vAlign w:val="center"/>
          </w:tcPr>
          <w:p w14:paraId="0B8FB16F">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4986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65C6D202">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w:t>
            </w:r>
          </w:p>
        </w:tc>
        <w:tc>
          <w:tcPr>
            <w:tcW w:w="1134" w:type="dxa"/>
            <w:tcBorders>
              <w:tl2br w:val="nil"/>
              <w:tr2bl w:val="nil"/>
            </w:tcBorders>
            <w:noWrap/>
            <w:vAlign w:val="center"/>
          </w:tcPr>
          <w:p w14:paraId="443AACF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网管系统硬件</w:t>
            </w:r>
          </w:p>
        </w:tc>
        <w:tc>
          <w:tcPr>
            <w:tcW w:w="5386" w:type="dxa"/>
            <w:tcBorders>
              <w:tl2br w:val="nil"/>
              <w:tr2bl w:val="nil"/>
            </w:tcBorders>
            <w:noWrap/>
            <w:vAlign w:val="center"/>
          </w:tcPr>
          <w:p w14:paraId="3BD9EADD">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1、配置2颗国产处理器，单颗主频≥2.6GHz, 核数≥32核心；</w:t>
            </w:r>
          </w:p>
          <w:p w14:paraId="68C948EF">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2、配置32GB内存2条, 内存类型为DDR4 RDIMMKHz内存，内存插槽数≥16个插槽；；</w:t>
            </w:r>
          </w:p>
          <w:p w14:paraId="6284EB9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3、配置2块1.92TB SSD硬盘;最大支持16个3.5英寸2.5英寸SAS/SATA HDD硬盘；</w:t>
            </w:r>
          </w:p>
          <w:p w14:paraId="1B17789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4、配置独立RAID卡，支持RAID0,1,5,6,10,50,60RAID级别，2GB缓存，支持超级电容掉电保护；</w:t>
            </w:r>
          </w:p>
          <w:p w14:paraId="201B91B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5、接口≥8个千兆电口；</w:t>
            </w:r>
          </w:p>
          <w:p w14:paraId="179AEAE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6、配置2块900W冗余热插拔电源，并提供配套的电源连接线</w:t>
            </w:r>
          </w:p>
        </w:tc>
        <w:tc>
          <w:tcPr>
            <w:tcW w:w="680" w:type="dxa"/>
            <w:tcBorders>
              <w:tl2br w:val="nil"/>
              <w:tr2bl w:val="nil"/>
            </w:tcBorders>
            <w:noWrap w:val="0"/>
            <w:vAlign w:val="center"/>
          </w:tcPr>
          <w:p w14:paraId="60A8CF97">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7A2D755E">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7C65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3D97B1C5">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w:t>
            </w:r>
          </w:p>
        </w:tc>
        <w:tc>
          <w:tcPr>
            <w:tcW w:w="1134" w:type="dxa"/>
            <w:tcBorders>
              <w:tl2br w:val="nil"/>
              <w:tr2bl w:val="nil"/>
            </w:tcBorders>
            <w:noWrap/>
            <w:vAlign w:val="center"/>
          </w:tcPr>
          <w:p w14:paraId="6393D260">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无线</w:t>
            </w:r>
          </w:p>
          <w:p w14:paraId="1FE45E44">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控制器</w:t>
            </w:r>
          </w:p>
        </w:tc>
        <w:tc>
          <w:tcPr>
            <w:tcW w:w="5386" w:type="dxa"/>
            <w:tcBorders>
              <w:tl2br w:val="nil"/>
              <w:tr2bl w:val="nil"/>
            </w:tcBorders>
            <w:noWrap/>
            <w:vAlign w:val="center"/>
          </w:tcPr>
          <w:p w14:paraId="4F24AB1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1、单台AC最大管理AP数量≥6K，提供但不限于官网截图、技术包皮书等佐证材料；</w:t>
            </w:r>
          </w:p>
          <w:p w14:paraId="243258D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2、单台AC最大接入用户数量≥64K，提供但不限于官网截图、技术包皮书等佐证材料；</w:t>
            </w:r>
          </w:p>
          <w:p w14:paraId="28AC70C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3、三层转发吞吐量≥120 Gbps；</w:t>
            </w:r>
          </w:p>
          <w:p w14:paraId="7943A0C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4、单台AC提供≥2个40G光口，≥12个GE电口</w:t>
            </w:r>
          </w:p>
          <w:p w14:paraId="0273E5F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5、单台AC支持双电源备份；支持电源模块热插拔时单电源供电。</w:t>
            </w:r>
          </w:p>
          <w:p w14:paraId="766603A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6、支持静态路由，OSPF，BGP，IS-IS，路由策略、策略路由，提供官网链接和截图</w:t>
            </w:r>
          </w:p>
          <w:p w14:paraId="2317AF7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7、支持MAC 地址认证、802.1x认证（EAP-PAP、EAP-MD5、EAP-PEAP、EAP-TLS、EAP-TTLS）、Portal认证、MAC+Portal混合认证、WAPI认证；</w:t>
            </w:r>
          </w:p>
          <w:p w14:paraId="79E8A1D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8、支持WPA标准、WEP(WEP64/WEP128)、TKIP、CCMP；</w:t>
            </w:r>
          </w:p>
          <w:p w14:paraId="3E69EDE8">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9、内置Portal/AAA服务器，可为用户提供Portal认证/802.1X服务；"</w:t>
            </w:r>
          </w:p>
          <w:p w14:paraId="53BE872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10、支持PPSK，AC可为同一个SSID下的不同终端分配不同的PSK密钥，无需其他系统支持；</w:t>
            </w:r>
          </w:p>
          <w:p w14:paraId="401ACB4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11、AP支持IPv4与IPv6 双栈与AC建立capwap隧道，且被正常管理，提供第三方权威机构测试报告或官网截图</w:t>
            </w:r>
          </w:p>
          <w:p w14:paraId="6F8CA72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12、支持IPv6的动态路由协议：OSPF v3，BGP4+，提供产品说明书且官网可查</w:t>
            </w:r>
          </w:p>
          <w:p w14:paraId="4566C19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13、支持基于802.11k 和 802.11v协议的智能漫游，使低漫游灵敏度的客户端能漫游到最佳AP，提供权威第三方机构测试报告；</w:t>
            </w:r>
          </w:p>
          <w:p w14:paraId="272FD8D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14、支持应用识别（如QQ、BT、微信等），能针对识别出的不同应用设定相应管控策略；如果需要license才能支持，请配置与AP数量相同的license；</w:t>
            </w:r>
          </w:p>
          <w:p w14:paraId="79C4E8C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15、两台AC可以通过capwap隧道跨越三层网络进行二层通信，保障AP访客流量可以通过本地AC隧道直接转发到DMZ区域AC，提供配置截图</w:t>
            </w:r>
          </w:p>
          <w:p w14:paraId="107F4378">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16、支持VIP用户识别和优先调度，VIP用户可无视任何限速策略，并可获得空口报文的优先级提升</w:t>
            </w:r>
          </w:p>
          <w:p w14:paraId="198DAF9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17、支持URL过滤，允许或禁止用户访问某些网页资源，提供官网链接证明；如果需要license才能支持，请配置与AP数量相同的license；</w:t>
            </w:r>
          </w:p>
          <w:p w14:paraId="67C70B62">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18、支持反病毒功能，提供官网链接证明</w:t>
            </w:r>
          </w:p>
          <w:p w14:paraId="2703D4A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19、支持入侵防御，检测和中止入侵行为（包括缓冲区溢出攻击、木马、蠕虫等），提供官网链接证明</w:t>
            </w:r>
          </w:p>
          <w:p w14:paraId="6D93F8BC">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20、支持频段指引功能，能够自动指引支持双频段的无线终端工作在5.8GHz频段上</w:t>
            </w:r>
          </w:p>
          <w:p w14:paraId="07596F3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21、对于支持双5G的射频，通过 AP 间的自动协商，自动将2.4G切换到5G，降低 2.4G 同频干扰，增加系统容量。</w:t>
            </w:r>
          </w:p>
          <w:p w14:paraId="1934616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22、AC支持频谱分析功能，可以查看实时FFT图、信道度量、FFT占空比、干扰强度和信道质量等频谱图。如果需要license才能支持，请配置与AP数量相同的license；</w:t>
            </w:r>
          </w:p>
          <w:p w14:paraId="3B822D75">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23、支持定时开关SSID功能，在规定的时间内自动关闭指定SSID的发射信号，方便网络控制，提供设备配置截图</w:t>
            </w:r>
          </w:p>
          <w:p w14:paraId="264CCC0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24、支持设备冗余备份功能，可支持1+1或N+1备份，并支持主备AC间配置同步</w:t>
            </w:r>
          </w:p>
          <w:p w14:paraId="260FB23C">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25、支持广域认证逃生，在CAPWAP链路路故障后，MAC 或者 802.1x 认证逃⽣到本地认证，提供权威第三方机构测试报告；</w:t>
            </w:r>
          </w:p>
          <w:p w14:paraId="205BA3C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26、AC与AP可以分开各自独立升级；且在双AC冗余状态下支持升级过程中业务不中断；</w:t>
            </w:r>
          </w:p>
          <w:p w14:paraId="45BFE414">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27、支持CLI、WEB管理、SSH管理，支持SNMP v1/v2/v3；</w:t>
            </w:r>
          </w:p>
          <w:p w14:paraId="60B0EA9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提供整体无线网络性能监控，支持对AC/AP/射频/终端的性能监控</w:t>
            </w:r>
          </w:p>
          <w:p w14:paraId="73A0E4BA">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28、AC支持可视化端到端的故障诊断，显示用户、AP、AC连接图，呈现故障根因和处理建议</w:t>
            </w:r>
          </w:p>
        </w:tc>
        <w:tc>
          <w:tcPr>
            <w:tcW w:w="680" w:type="dxa"/>
            <w:tcBorders>
              <w:tl2br w:val="nil"/>
              <w:tr2bl w:val="nil"/>
            </w:tcBorders>
            <w:noWrap w:val="0"/>
            <w:vAlign w:val="center"/>
          </w:tcPr>
          <w:p w14:paraId="050453E3">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1FBD8580">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11DF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56" w:type="dxa"/>
            <w:tcBorders>
              <w:tl2br w:val="nil"/>
              <w:tr2bl w:val="nil"/>
            </w:tcBorders>
            <w:noWrap/>
            <w:vAlign w:val="center"/>
          </w:tcPr>
          <w:p w14:paraId="502FEBDC">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w:t>
            </w:r>
          </w:p>
        </w:tc>
        <w:tc>
          <w:tcPr>
            <w:tcW w:w="1134" w:type="dxa"/>
            <w:tcBorders>
              <w:tl2br w:val="nil"/>
              <w:tr2bl w:val="nil"/>
            </w:tcBorders>
            <w:noWrap/>
            <w:vAlign w:val="center"/>
          </w:tcPr>
          <w:p w14:paraId="2A0AC33C">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防火墙</w:t>
            </w:r>
          </w:p>
        </w:tc>
        <w:tc>
          <w:tcPr>
            <w:tcW w:w="5386" w:type="dxa"/>
            <w:tcBorders>
              <w:tl2br w:val="nil"/>
              <w:tr2bl w:val="nil"/>
            </w:tcBorders>
            <w:noWrap/>
            <w:vAlign w:val="center"/>
          </w:tcPr>
          <w:p w14:paraId="560BDAFB">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性能参数：1.网络层吞吐量≥20G，应用层吞吐量≥10G，防病毒吞吐量≥1.5G，IPS吞吐量≥1.5G，全威胁吞吐量：≥1G；并发连接数≥300万，HTTP新建连接数≥9万；规格：1U；接口：≥8千兆电口，≥2万兆光口SFP+；含三年软件升级、规则库升级、硬件质保。（提供有效证明材料并加盖厂商公章）</w:t>
            </w:r>
          </w:p>
          <w:p w14:paraId="7D1B7796">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▲2.为满足业务稳定性及后续服务保障，产品需支持A|A、A|S两种双机模式部署。双机故障切换时不丢包，双机部署下升级不断网。（需提供产品功能截图和具备CMA/CNAS标识的第三方检测报告并加盖厂商公章）</w:t>
            </w:r>
          </w:p>
          <w:p w14:paraId="34564DE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3.支持虚拟防火墙的创建、启动、关闭、删除功能；虚拟防火墙可独立管理，独立保存配置；虚拟防火墙具备独立会话管理、NAT、安全策略等功能。</w:t>
            </w:r>
          </w:p>
          <w:p w14:paraId="6F7C9AFE">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4.支持NAT44 、NAT64、NAT66地址转换方式。</w:t>
            </w:r>
          </w:p>
          <w:p w14:paraId="2E54777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5.支持IPv4/IPv6双栈工作模式，以适应IPv6发展趋势。</w:t>
            </w:r>
          </w:p>
          <w:p w14:paraId="417D33E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▲6.为保障我单位网络稳定性，产品需支持IPSec VPN智能选路功能，根据线路质量和应用实现自动链路切换。（需提供产品功能截图和提供官方检测机构出具关于“智能选路”的证书或检测报告并加盖厂商公章）</w:t>
            </w:r>
          </w:p>
          <w:p w14:paraId="2D4C63C4">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7.支持多维度流量控制功能，支持基于IP地址、用户、应用、时间设置流量控制策略，保证关键业务带宽日常需求。</w:t>
            </w:r>
          </w:p>
          <w:p w14:paraId="60391AF3">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OWASP定义10大web安全威胁防护，保护服务器免受基于Web应用的攻击，SQL注入防护、XSS攻击防护、文件包含攻击、信息泄露攻击、WEBSHELL、网站扫描、网页木马等攻击类型进行防护，内置WEB应用攻击特征。（需提供产品功能截图和具备CMA/CNAS标识的第三方检测报告并加盖厂商公章）</w:t>
            </w:r>
          </w:p>
          <w:p w14:paraId="6459E67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▲9.支持Cookie攻击防护功能，并通过日志记录Cookie被篡改。（需提供产品功能截图和具备CMA/CNAS标识的第三方检测报告并加盖厂商公章）</w:t>
            </w:r>
          </w:p>
          <w:p w14:paraId="56400020">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10.支持链路探测，能够在每接口上以PING/DNS/ARP/DFP等协议探测目标主机可达性，探测链路是否有效。</w:t>
            </w:r>
          </w:p>
          <w:p w14:paraId="6D769BDF">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11.为保障我单位网络安全性，产品需支持僵尸主机检测功能，产品内置僵尸网络特征库超过125万种，可识别主机的异常外联行为。（需提供产品功能截图证明并加盖厂商公章）</w:t>
            </w:r>
          </w:p>
          <w:p w14:paraId="2A7293C1">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12.为保障所投产品生产厂商技术实力，要求所投产品生产厂商具备中国网络安全审查技术与认证中心颁发的信息安全服务软件开发服务一级资质。（提供证书复印件并加盖厂商公章）</w:t>
            </w:r>
          </w:p>
          <w:p w14:paraId="50F64607">
            <w:p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13.为保障所投产品生产厂商技术实力，要求所投产品生产厂商具备云安全成熟度模型CS-CMMI 5认证。（提供证书复印件并加盖厂商公章）</w:t>
            </w:r>
          </w:p>
        </w:tc>
        <w:tc>
          <w:tcPr>
            <w:tcW w:w="680" w:type="dxa"/>
            <w:tcBorders>
              <w:tl2br w:val="nil"/>
              <w:tr2bl w:val="nil"/>
            </w:tcBorders>
            <w:noWrap w:val="0"/>
            <w:vAlign w:val="center"/>
          </w:tcPr>
          <w:p w14:paraId="539F894A">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0"/>
            <w:vAlign w:val="center"/>
          </w:tcPr>
          <w:p w14:paraId="178292AE">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55A7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6" w:type="dxa"/>
            <w:tcBorders>
              <w:tl2br w:val="nil"/>
              <w:tr2bl w:val="nil"/>
            </w:tcBorders>
            <w:noWrap/>
            <w:vAlign w:val="center"/>
          </w:tcPr>
          <w:p w14:paraId="5CAB9AA5">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w:t>
            </w:r>
          </w:p>
        </w:tc>
        <w:tc>
          <w:tcPr>
            <w:tcW w:w="1134" w:type="dxa"/>
            <w:tcBorders>
              <w:tl2br w:val="nil"/>
              <w:tr2bl w:val="nil"/>
            </w:tcBorders>
            <w:noWrap w:val="0"/>
            <w:vAlign w:val="center"/>
          </w:tcPr>
          <w:p w14:paraId="006FBC5B">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上网行为管理</w:t>
            </w:r>
          </w:p>
        </w:tc>
        <w:tc>
          <w:tcPr>
            <w:tcW w:w="5386" w:type="dxa"/>
            <w:tcBorders>
              <w:tl2br w:val="nil"/>
              <w:tr2bl w:val="nil"/>
            </w:tcBorders>
            <w:noWrap/>
            <w:vAlign w:val="center"/>
          </w:tcPr>
          <w:p w14:paraId="189C4158">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1.网络层吞吐量≥10Gb，应用层吞吐量≥1.5Gb，带宽性能≥1Gb；每秒新建连接数≥14000，最大并发连接数≥600000；规格： 1U；接口≥6千兆电口，≥2千兆光口SFP；含含三年软件升级、规则库升级、硬件质保。（提供有效证明材料并加盖厂商公章）</w:t>
            </w:r>
          </w:p>
          <w:p w14:paraId="1D26CF7A">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2.支持路由模式、网桥模式、旁路模式部署。</w:t>
            </w:r>
          </w:p>
          <w:p w14:paraId="401809B9">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3.支持按照实际上网人员职位、项目组、等形式添加属性，且基于用户属性设置不同的上网权限策略、流控策略，审计策略等。</w:t>
            </w:r>
          </w:p>
          <w:p w14:paraId="54A99B74">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为保障我单位网络的管理能力，产品需支持首页不同维度显示实时的管理用户人数情况、终端类型；带宽质量分析情况、实时流量排名情况；录入资产类型分布情况、新设备发现趋势、终端违规检查项排行情况、终端违规用户排行情况等。（提供产品功能截图并加盖厂商公章）</w:t>
            </w:r>
          </w:p>
          <w:p w14:paraId="327A1743">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▲5.支持对Web请求访问情况进行检测，可对内网用户使用web请求访问网络流畅情况进行检测，通过质量评级对整体网络进行展示。（提供产品功能截图并加盖厂商公章）</w:t>
            </w:r>
          </w:p>
          <w:p w14:paraId="3762E169">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6.支持网络故障排查，支持PPS异常、丢包异常、ARP异常、内网DOS攻击等异常情况实时监测，显示每日异常事件个数及情况。</w:t>
            </w:r>
          </w:p>
          <w:p w14:paraId="7E177A22">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7.支持终端用户账号绑定手机号码和微信号，绑定后可以通过手机验证码和微信扫码实现上网快捷登录认证。（提供产品功能截图并加盖厂商公章）</w:t>
            </w:r>
          </w:p>
          <w:p w14:paraId="1C6FEDFA">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8.支持针对特权用户配置免认证key、免审计key、免控制key。（提供产品功能截图并加盖厂商公章）</w:t>
            </w:r>
          </w:p>
          <w:p w14:paraId="5F9032A6">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9.支持账号密码+动态令牌（Authenticator APP）验证码身份认证，支持通过短信和密码绑定动态令牌。</w:t>
            </w:r>
          </w:p>
          <w:p w14:paraId="10A50CAA">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10.支持在设置流量策略后，根据整体线路或者某流量通道内的空闲情况，自动启用和停止使用流量控制策略，以提升带宽的高使用率；空闲值可自定义；（提供产品功能截图并加盖厂商公章）</w:t>
            </w:r>
          </w:p>
          <w:p w14:paraId="21D41DDD">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11.支持密码设置限制策略，在设定密码时支持设置密码不能与用户名称相同、新的密码不能与旧密码相同、设定密码最小长度、复杂度等</w:t>
            </w:r>
          </w:p>
          <w:p w14:paraId="7CDE3A35">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12.支持超过千种以上的主流Saas应用，且对Saas应用有默认的分类标签，帮助单位统一配置策略（提供产品功能截图并加盖厂商公章）</w:t>
            </w:r>
          </w:p>
          <w:p w14:paraId="2DB2298A">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▲13.支持客户端SSL解密，客户端会自动推送根证书安装。（提供产品功能截图并加盖厂商公章）</w:t>
            </w:r>
          </w:p>
          <w:p w14:paraId="4D1742FA">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14.支持允许用户登录Webmail收邮件，而禁止发送Webmail邮件的功能。</w:t>
            </w:r>
          </w:p>
          <w:p w14:paraId="1750BCE9">
            <w:pPr>
              <w:jc w:val="left"/>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▲15.为保障网络安全设备对于个人信息的保密以及合规性要求，要求所投网络安全产品生产厂商通过IS027018个人可识别信息信息安全管理体系认证。（提供证书复印件并加盖厂商公章）</w:t>
            </w:r>
          </w:p>
        </w:tc>
        <w:tc>
          <w:tcPr>
            <w:tcW w:w="680" w:type="dxa"/>
            <w:tcBorders>
              <w:tl2br w:val="nil"/>
              <w:tr2bl w:val="nil"/>
            </w:tcBorders>
            <w:noWrap/>
            <w:vAlign w:val="center"/>
          </w:tcPr>
          <w:p w14:paraId="05E21870">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台</w:t>
            </w:r>
          </w:p>
        </w:tc>
        <w:tc>
          <w:tcPr>
            <w:tcW w:w="680" w:type="dxa"/>
            <w:tcBorders>
              <w:tl2br w:val="nil"/>
              <w:tr2bl w:val="nil"/>
            </w:tcBorders>
            <w:noWrap/>
            <w:vAlign w:val="center"/>
          </w:tcPr>
          <w:p w14:paraId="49E32AC5">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r w14:paraId="5BC6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6" w:type="dxa"/>
            <w:tcBorders>
              <w:tl2br w:val="nil"/>
              <w:tr2bl w:val="nil"/>
            </w:tcBorders>
            <w:noWrap/>
            <w:vAlign w:val="center"/>
          </w:tcPr>
          <w:p w14:paraId="786FD145">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w:t>
            </w:r>
          </w:p>
        </w:tc>
        <w:tc>
          <w:tcPr>
            <w:tcW w:w="1134" w:type="dxa"/>
            <w:tcBorders>
              <w:tl2br w:val="nil"/>
              <w:tr2bl w:val="nil"/>
            </w:tcBorders>
            <w:noWrap w:val="0"/>
            <w:vAlign w:val="center"/>
          </w:tcPr>
          <w:p w14:paraId="0872B9EC">
            <w:pPr>
              <w:widowControl/>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系统集成</w:t>
            </w:r>
          </w:p>
        </w:tc>
        <w:tc>
          <w:tcPr>
            <w:tcW w:w="5386" w:type="dxa"/>
            <w:tcBorders>
              <w:tl2br w:val="nil"/>
              <w:tr2bl w:val="nil"/>
            </w:tcBorders>
            <w:noWrap/>
            <w:vAlign w:val="center"/>
          </w:tcPr>
          <w:p w14:paraId="15449E38">
            <w:pPr>
              <w:numPr>
                <w:ilvl w:val="0"/>
                <w:numId w:val="0"/>
              </w:num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1、链路部分采用六类四对非屏蔽低烟无卤双绞线，导体直径：23AWG，0.57±0.005mm实芯裸铜导线外皮直径：6.3±0.2mm；（提供检测报告）</w:t>
            </w:r>
          </w:p>
          <w:p w14:paraId="16E7C859">
            <w:pPr>
              <w:numPr>
                <w:ilvl w:val="0"/>
                <w:numId w:val="0"/>
              </w:num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2、提供设备安装所需辅材、管线等材料；</w:t>
            </w:r>
          </w:p>
          <w:p w14:paraId="14EC09C6">
            <w:pPr>
              <w:numPr>
                <w:ilvl w:val="0"/>
                <w:numId w:val="0"/>
              </w:numPr>
              <w:spacing w:before="60" w:after="6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3、设备安装位置规划、安装、调试工作。</w:t>
            </w:r>
          </w:p>
        </w:tc>
        <w:tc>
          <w:tcPr>
            <w:tcW w:w="680" w:type="dxa"/>
            <w:tcBorders>
              <w:tl2br w:val="nil"/>
              <w:tr2bl w:val="nil"/>
            </w:tcBorders>
            <w:noWrap/>
            <w:vAlign w:val="center"/>
          </w:tcPr>
          <w:p w14:paraId="1BA07442">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项</w:t>
            </w:r>
          </w:p>
        </w:tc>
        <w:tc>
          <w:tcPr>
            <w:tcW w:w="680" w:type="dxa"/>
            <w:tcBorders>
              <w:tl2br w:val="nil"/>
              <w:tr2bl w:val="nil"/>
            </w:tcBorders>
            <w:noWrap/>
            <w:vAlign w:val="center"/>
          </w:tcPr>
          <w:p w14:paraId="35F53FFD">
            <w:pPr>
              <w:spacing w:before="60" w:after="60"/>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w:t>
            </w:r>
          </w:p>
        </w:tc>
      </w:tr>
    </w:tbl>
    <w:p w14:paraId="39D5C3FB">
      <w:pPr>
        <w:pStyle w:val="9"/>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注：“▲”标注参数为重要技术参数</w:t>
      </w:r>
    </w:p>
    <w:p w14:paraId="50300268">
      <w:pPr>
        <w:pStyle w:val="44"/>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360" w:lineRule="auto"/>
        <w:ind w:left="0" w:leftChars="0" w:firstLine="480" w:firstLineChars="200"/>
        <w:jc w:val="left"/>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3、服务期限：</w:t>
      </w:r>
    </w:p>
    <w:p w14:paraId="778245F2">
      <w:pPr>
        <w:pStyle w:val="44"/>
        <w:numPr>
          <w:ilvl w:val="0"/>
          <w:numId w:val="0"/>
        </w:numPr>
        <w:spacing w:line="360" w:lineRule="auto"/>
        <w:ind w:leftChars="0" w:firstLine="480" w:firstLineChars="200"/>
        <w:jc w:val="left"/>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质保期三年，质保期内，若发生产品质量问题，乙方应免费解决。超过质保期的维修服务，按照厂家承诺进行。</w:t>
      </w:r>
    </w:p>
    <w:p w14:paraId="46B53A1E">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480" w:firstLineChars="200"/>
        <w:jc w:val="both"/>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4、其他要求：</w:t>
      </w:r>
    </w:p>
    <w:p w14:paraId="045B98A1">
      <w:pPr>
        <w:pStyle w:val="44"/>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本项目所涉及的所有费用皆由中标单位承担。</w:t>
      </w:r>
    </w:p>
    <w:p w14:paraId="3D538094">
      <w:pPr>
        <w:pStyle w:val="44"/>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技术资料包括：出厂检测报告、产品使用说明书、合格证等其它相关资料。</w:t>
      </w:r>
    </w:p>
    <w:p w14:paraId="264EFC0E">
      <w:pPr>
        <w:pStyle w:val="44"/>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5" w:leftChars="150" w:hanging="340" w:firstLineChars="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在质保期内，供应商提供全年7×24小时的技术咨询服务。</w:t>
      </w:r>
    </w:p>
    <w:p w14:paraId="3F3E13A0">
      <w:pPr>
        <w:pStyle w:val="44"/>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5" w:leftChars="150" w:hanging="340" w:firstLineChars="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服务承诺：按响应文件中的服务承诺执行。</w:t>
      </w:r>
    </w:p>
    <w:p w14:paraId="4FA617EA">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480" w:firstLineChars="200"/>
        <w:jc w:val="both"/>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5、服务事项的验收（考核）标准</w:t>
      </w:r>
    </w:p>
    <w:p w14:paraId="43FEEBD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宋体" w:hAnsi="宋体" w:eastAsia="宋体" w:cs="宋体"/>
          <w:b w:val="0"/>
          <w:bCs/>
          <w:kern w:val="2"/>
          <w:sz w:val="24"/>
          <w:szCs w:val="24"/>
          <w:highlight w:val="none"/>
          <w:u w:val="none"/>
          <w:lang w:val="en-US" w:eastAsia="zh-CN" w:bidi="ar-SA"/>
        </w:rPr>
      </w:pPr>
      <w:r>
        <w:rPr>
          <w:rFonts w:hint="eastAsia" w:ascii="宋体" w:hAnsi="宋体" w:cs="宋体"/>
          <w:b w:val="0"/>
          <w:bCs/>
          <w:kern w:val="2"/>
          <w:sz w:val="24"/>
          <w:szCs w:val="24"/>
          <w:highlight w:val="none"/>
          <w:u w:val="none"/>
          <w:lang w:val="en-US" w:eastAsia="zh-CN" w:bidi="ar-SA"/>
        </w:rPr>
        <w:t>-</w:t>
      </w:r>
      <w:r>
        <w:rPr>
          <w:rFonts w:hint="eastAsia" w:ascii="宋体" w:hAnsi="宋体" w:eastAsia="宋体" w:cs="宋体"/>
          <w:b w:val="0"/>
          <w:bCs/>
          <w:kern w:val="2"/>
          <w:sz w:val="24"/>
          <w:szCs w:val="24"/>
          <w:highlight w:val="none"/>
          <w:u w:val="none"/>
          <w:lang w:val="en-US" w:eastAsia="zh-CN" w:bidi="ar-SA"/>
        </w:rPr>
        <w:t>项目验收：</w:t>
      </w:r>
    </w:p>
    <w:p w14:paraId="717F70BE">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货物到达交货地点后，由使用单位根据合同对货物的名称、品牌、规格、型号、产地、数量进行检查。</w:t>
      </w:r>
    </w:p>
    <w:p w14:paraId="094CD3F9">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655" w:leftChars="150" w:hanging="340" w:firstLineChars="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验收不合格的成交供应商，必须在接到通知后7个日历日内确保货物通过验收。如接到通知后7个日历日内验收仍不合格，甲方有权解除本合同，并要求乙方支付本合同总金额【10】%的违约金。甲方将把成交资格授予评审排序下一名的成交候选人。</w:t>
      </w:r>
    </w:p>
    <w:p w14:paraId="07944932">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cs="宋体"/>
          <w:b w:val="0"/>
          <w:bCs/>
          <w:kern w:val="2"/>
          <w:sz w:val="24"/>
          <w:szCs w:val="24"/>
          <w:highlight w:val="none"/>
          <w:u w:val="none"/>
          <w:lang w:val="en-US" w:eastAsia="zh-CN" w:bidi="ar-SA"/>
        </w:rPr>
        <w:t>-</w:t>
      </w:r>
      <w:r>
        <w:rPr>
          <w:rFonts w:hint="eastAsia" w:ascii="宋体" w:hAnsi="宋体" w:eastAsia="宋体" w:cs="宋体"/>
          <w:b w:val="0"/>
          <w:bCs/>
          <w:kern w:val="2"/>
          <w:sz w:val="24"/>
          <w:szCs w:val="24"/>
          <w:highlight w:val="none"/>
          <w:u w:val="none"/>
          <w:lang w:val="en-US" w:eastAsia="zh-CN" w:bidi="ar-SA"/>
        </w:rPr>
        <w:t>验收依据：</w:t>
      </w:r>
    </w:p>
    <w:p w14:paraId="4F928A80">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合同文本及合同补充文件（条款）。</w:t>
      </w:r>
    </w:p>
    <w:p w14:paraId="347CD3C0">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生产厂家授权书及售后服务承诺函。</w:t>
      </w:r>
    </w:p>
    <w:p w14:paraId="4CE98764">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采购文件。</w:t>
      </w:r>
    </w:p>
    <w:p w14:paraId="71E0FF04">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成交供应商的响应文件。</w:t>
      </w:r>
    </w:p>
    <w:p w14:paraId="01F8A2F2">
      <w:pPr>
        <w:pStyle w:val="44"/>
        <w:keepNext w:val="0"/>
        <w:keepLines w:val="0"/>
        <w:pageBreakBefore w:val="0"/>
        <w:widowControl w:val="0"/>
        <w:numPr>
          <w:ilvl w:val="0"/>
          <w:numId w:val="4"/>
        </w:numPr>
        <w:kinsoku/>
        <w:wordWrap/>
        <w:overflowPunct/>
        <w:topLinePunct w:val="0"/>
        <w:autoSpaceDE/>
        <w:autoSpaceDN/>
        <w:bidi w:val="0"/>
        <w:adjustRightInd/>
        <w:snapToGrid/>
        <w:spacing w:line="360" w:lineRule="auto"/>
        <w:ind w:left="655" w:leftChars="150" w:hanging="340" w:firstLineChars="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合同货物清单。</w:t>
      </w:r>
    </w:p>
    <w:p w14:paraId="35F130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生产厂家的企业资质、检验报告、货物的执行标准。</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2919C0B9">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8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7"/>
        <w:gridCol w:w="737"/>
        <w:gridCol w:w="6350"/>
      </w:tblGrid>
      <w:tr w14:paraId="70EA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AE60985">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评审内容</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693E433">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分值</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52396DF6">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评审细则</w:t>
            </w:r>
          </w:p>
        </w:tc>
      </w:tr>
      <w:tr w14:paraId="11B3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6B40E01">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FCDBAE7">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1ABEA31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投标报价采用低价优先法计算，即满足招标文件要求且投标报价最低的报价为评审基准价，其价格分为满分。其他投标人的价格分统一按照下列公式计算：</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投标报价得分=（评审基准价/投标报价）×30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计算分数时四舍五入取小数点后两位</w:t>
            </w:r>
          </w:p>
        </w:tc>
      </w:tr>
      <w:tr w14:paraId="555C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ACA5459">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产品技术参数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B747316">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1045D58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投标人所投标产品完全满足招标文件技术参数要求的得30分。标“▲”项为重要参数，每负偏离一项扣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分，扣完为止；其他参数为一般参数，每负偏离一项扣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分；扣完为止。</w:t>
            </w:r>
          </w:p>
          <w:p w14:paraId="3D3F13F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备注：技术指标</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提供技术支持资料，请在偏离表“说明”栏中标明页码。</w:t>
            </w:r>
          </w:p>
        </w:tc>
      </w:tr>
      <w:tr w14:paraId="6A5D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75ACF704">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项目实施方案</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92A4ECC">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205181A7">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1、供货的总体方案的合理性、服务的及时性等。供应商针对本项目提供完整的项目实施方案。内容包含：①实施计划②供货、安装、调试方案③验收措施④物力调配的相应保障措施。根据优劣程度最高得0-5分；</w:t>
            </w:r>
            <w:r>
              <w:rPr>
                <w:rFonts w:hint="eastAsia" w:ascii="宋体" w:hAnsi="宋体" w:eastAsia="宋体" w:cs="宋体"/>
                <w:sz w:val="24"/>
                <w:szCs w:val="24"/>
                <w:highlight w:val="none"/>
                <w:lang w:val="en-US" w:eastAsia="zh-CN"/>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2、应急保障及危机处置预案，根据可操作性、适宜组织实施得0-3分；</w:t>
            </w:r>
            <w:r>
              <w:rPr>
                <w:rFonts w:hint="eastAsia" w:ascii="宋体" w:hAnsi="宋体" w:eastAsia="宋体" w:cs="宋体"/>
                <w:sz w:val="24"/>
                <w:szCs w:val="24"/>
                <w:highlight w:val="none"/>
                <w:lang w:val="en-US" w:eastAsia="zh-CN"/>
              </w:rPr>
              <w:br w:type="textWrapping"/>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3、拟投入人员情况能满足本项目实施要求，人员分工明确，得0-2分。</w:t>
            </w:r>
          </w:p>
        </w:tc>
      </w:tr>
      <w:tr w14:paraId="5FDB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0A415A9">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质量保证</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DDC6793">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6CB8FD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货源渠道：投标人为所投产品代理商，需提供货物的合法来源渠道证明文件（例如：产品制造商授权、销售协议、代理协议等证明文件），投标人为所投产品的制造商：需提供情况说明，按其响应程度得0-5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2、质量保证：产品质量合格，符合招标文件要求并符合相关国家标准和行业标准，按其响应程度得0-5分。</w:t>
            </w:r>
          </w:p>
        </w:tc>
      </w:tr>
      <w:tr w14:paraId="63EE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E5256EA">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CC1347B">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5A447F1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质保期：所投产品需提供原厂售后服务承诺函，原厂质保至少3年，完全满足得3分，每增加一年得1分，满分5分；</w:t>
            </w:r>
          </w:p>
        </w:tc>
      </w:tr>
      <w:tr w14:paraId="7527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8EA7FF8">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售后服务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EBD2CEE">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6B3BCDD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根据投标人的售后服务方案，包括但不限于：</w:t>
            </w:r>
          </w:p>
          <w:p w14:paraId="19E108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1、售后服务响应情况、是否提供驻场运维服务等措施（0-5分）；</w:t>
            </w:r>
          </w:p>
          <w:p w14:paraId="51539A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2、售后服务标准及措施（0-3分）；</w:t>
            </w:r>
          </w:p>
          <w:p w14:paraId="760312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3、质保期满后承诺（0-2分）；</w:t>
            </w:r>
          </w:p>
        </w:tc>
      </w:tr>
      <w:tr w14:paraId="481A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F92FA5C">
            <w:pPr>
              <w:keepNext w:val="0"/>
              <w:keepLines w:val="0"/>
              <w:pageBreakBefore w:val="0"/>
              <w:kinsoku/>
              <w:wordWrap/>
              <w:overflowPunct/>
              <w:topLinePunct w:val="0"/>
              <w:bidi w:val="0"/>
              <w:spacing w:line="360" w:lineRule="auto"/>
              <w:ind w:right="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业绩</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1B60508">
            <w:pPr>
              <w:keepNext w:val="0"/>
              <w:keepLines w:val="0"/>
              <w:pageBreakBefore w:val="0"/>
              <w:kinsoku/>
              <w:wordWrap/>
              <w:overflowPunct/>
              <w:topLinePunct w:val="0"/>
              <w:bidi w:val="0"/>
              <w:spacing w:line="36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014ABED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投标人2022年1月以来同类业绩（以合同签订时间为准），每份合同得1分，最高得5分。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Ref467307010"/>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0B46087A">
      <w:pPr>
        <w:spacing w:line="340" w:lineRule="exact"/>
        <w:ind w:firstLine="480" w:firstLineChars="20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甲方：</w:t>
      </w:r>
      <w:r>
        <w:rPr>
          <w:rFonts w:hint="eastAsia" w:ascii="Times New Roman" w:hAnsi="Times New Roman" w:eastAsia="仿宋_GB2312" w:cs="Times New Roman"/>
          <w:snapToGrid w:val="0"/>
          <w:kern w:val="0"/>
          <w:sz w:val="24"/>
          <w:szCs w:val="24"/>
          <w:u w:val="single"/>
          <w:lang w:val="en-US" w:eastAsia="zh-CN" w:bidi="ar-SA"/>
        </w:rPr>
        <w:t>陕西中医药大学第二附属医院</w:t>
      </w:r>
      <w:r>
        <w:rPr>
          <w:rFonts w:hint="eastAsia" w:ascii="Times New Roman" w:hAnsi="Times New Roman" w:eastAsia="仿宋_GB2312" w:cs="Times New Roman"/>
          <w:snapToGrid w:val="0"/>
          <w:kern w:val="0"/>
          <w:sz w:val="24"/>
          <w:szCs w:val="24"/>
          <w:lang w:val="en-US" w:eastAsia="zh-CN" w:bidi="ar-SA"/>
        </w:rPr>
        <w:t>，其注册登记地址为：</w:t>
      </w:r>
      <w:r>
        <w:rPr>
          <w:rFonts w:hint="eastAsia" w:ascii="Times New Roman" w:hAnsi="Times New Roman" w:eastAsia="仿宋_GB2312" w:cs="Times New Roman"/>
          <w:snapToGrid w:val="0"/>
          <w:kern w:val="0"/>
          <w:sz w:val="24"/>
          <w:szCs w:val="24"/>
          <w:u w:val="single"/>
          <w:lang w:val="en-US" w:eastAsia="zh-CN" w:bidi="ar-SA"/>
        </w:rPr>
        <w:t>陕西省咸阳市渭阳西路5号</w:t>
      </w:r>
      <w:r>
        <w:rPr>
          <w:rFonts w:hint="eastAsia" w:ascii="Times New Roman" w:hAnsi="Times New Roman" w:eastAsia="仿宋_GB2312" w:cs="Times New Roman"/>
          <w:snapToGrid w:val="0"/>
          <w:kern w:val="0"/>
          <w:sz w:val="24"/>
          <w:szCs w:val="24"/>
          <w:lang w:val="en-US" w:eastAsia="zh-CN" w:bidi="ar-SA"/>
        </w:rPr>
        <w:t>，法定代表人为：</w:t>
      </w:r>
      <w:r>
        <w:rPr>
          <w:rFonts w:hint="eastAsia" w:ascii="Times New Roman" w:hAnsi="Times New Roman" w:eastAsia="仿宋_GB2312" w:cs="Times New Roman"/>
          <w:snapToGrid w:val="0"/>
          <w:kern w:val="0"/>
          <w:sz w:val="24"/>
          <w:szCs w:val="24"/>
          <w:u w:val="single"/>
          <w:lang w:val="en-US" w:eastAsia="zh-CN" w:bidi="ar-SA"/>
        </w:rPr>
        <w:t xml:space="preserve">栗文彬   </w:t>
      </w:r>
      <w:r>
        <w:rPr>
          <w:rFonts w:hint="eastAsia" w:ascii="Times New Roman" w:hAnsi="Times New Roman" w:eastAsia="仿宋_GB2312" w:cs="Times New Roman"/>
          <w:snapToGrid w:val="0"/>
          <w:kern w:val="0"/>
          <w:sz w:val="24"/>
          <w:szCs w:val="24"/>
          <w:lang w:val="en-US" w:eastAsia="zh-CN" w:bidi="ar-SA"/>
        </w:rPr>
        <w:t xml:space="preserve"> 。</w:t>
      </w:r>
    </w:p>
    <w:p w14:paraId="0AA8D4FD">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乙方：</w:t>
      </w:r>
      <w:r>
        <w:rPr>
          <w:rFonts w:hint="eastAsia" w:ascii="Times New Roman" w:hAnsi="Times New Roman" w:eastAsia="仿宋_GB2312" w:cs="Times New Roman"/>
          <w:snapToGrid w:val="0"/>
          <w:kern w:val="0"/>
          <w:sz w:val="24"/>
          <w:szCs w:val="24"/>
          <w:u w:val="single"/>
          <w:lang w:val="en-US" w:eastAsia="zh-CN" w:bidi="ar-SA"/>
        </w:rPr>
        <w:t xml:space="preserve">                    </w:t>
      </w:r>
      <w:r>
        <w:rPr>
          <w:rFonts w:hint="eastAsia" w:ascii="Times New Roman" w:hAnsi="Times New Roman" w:eastAsia="仿宋_GB2312" w:cs="Times New Roman"/>
          <w:snapToGrid w:val="0"/>
          <w:kern w:val="0"/>
          <w:sz w:val="24"/>
          <w:szCs w:val="24"/>
          <w:lang w:val="en-US" w:eastAsia="zh-CN" w:bidi="ar-SA"/>
        </w:rPr>
        <w:t>，其注册登记地址为：</w:t>
      </w:r>
      <w:r>
        <w:rPr>
          <w:rFonts w:hint="eastAsia" w:ascii="Times New Roman" w:hAnsi="Times New Roman" w:eastAsia="仿宋_GB2312" w:cs="Times New Roman"/>
          <w:snapToGrid w:val="0"/>
          <w:kern w:val="0"/>
          <w:sz w:val="24"/>
          <w:szCs w:val="24"/>
          <w:u w:val="single"/>
          <w:lang w:val="en-US" w:eastAsia="zh-CN" w:bidi="ar-SA"/>
        </w:rPr>
        <w:t xml:space="preserve">               </w:t>
      </w:r>
      <w:r>
        <w:rPr>
          <w:rFonts w:hint="eastAsia" w:ascii="Times New Roman" w:hAnsi="Times New Roman" w:eastAsia="仿宋_GB2312" w:cs="Times New Roman"/>
          <w:snapToGrid w:val="0"/>
          <w:kern w:val="0"/>
          <w:sz w:val="24"/>
          <w:szCs w:val="24"/>
          <w:lang w:val="en-US" w:eastAsia="zh-CN" w:bidi="ar-SA"/>
        </w:rPr>
        <w:t xml:space="preserve"> ，法定代表人为：</w:t>
      </w:r>
      <w:r>
        <w:rPr>
          <w:rFonts w:hint="eastAsia" w:ascii="Times New Roman" w:hAnsi="Times New Roman" w:eastAsia="仿宋_GB2312" w:cs="Times New Roman"/>
          <w:snapToGrid w:val="0"/>
          <w:kern w:val="0"/>
          <w:sz w:val="24"/>
          <w:szCs w:val="24"/>
          <w:u w:val="single"/>
          <w:lang w:val="en-US" w:eastAsia="zh-CN" w:bidi="ar-SA"/>
        </w:rPr>
        <w:t xml:space="preserve">        </w:t>
      </w:r>
      <w:r>
        <w:rPr>
          <w:rFonts w:hint="eastAsia" w:ascii="Times New Roman" w:hAnsi="Times New Roman" w:eastAsia="仿宋_GB2312" w:cs="Times New Roman"/>
          <w:snapToGrid w:val="0"/>
          <w:kern w:val="0"/>
          <w:sz w:val="24"/>
          <w:szCs w:val="24"/>
          <w:lang w:val="en-US" w:eastAsia="zh-CN" w:bidi="ar-SA"/>
        </w:rPr>
        <w:t xml:space="preserve">。 </w:t>
      </w:r>
    </w:p>
    <w:p w14:paraId="49D87D43">
      <w:pPr>
        <w:spacing w:line="340" w:lineRule="exact"/>
        <w:ind w:firstLine="480" w:firstLineChars="20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甲、乙双方基于公平、公正、平等的原则，依据《中华人民共和国民法典》之相关规定，现经甲、乙双方友好协商，就甲方购买乙方产品设备事宜，达成以下合同条款：</w:t>
      </w:r>
    </w:p>
    <w:p w14:paraId="4993AE4D">
      <w:pPr>
        <w:spacing w:line="360" w:lineRule="auto"/>
        <w:ind w:left="600"/>
        <w:rPr>
          <w:rFonts w:hint="eastAsia" w:ascii="黑体" w:hAnsi="宋体" w:eastAsia="黑体" w:cs="Times New Roman"/>
          <w:sz w:val="24"/>
          <w:szCs w:val="24"/>
        </w:rPr>
      </w:pPr>
      <w:r>
        <w:rPr>
          <w:rFonts w:hint="eastAsia" w:ascii="黑体" w:hAnsi="宋体" w:eastAsia="黑体" w:cs="Times New Roman"/>
          <w:sz w:val="24"/>
          <w:szCs w:val="24"/>
        </w:rPr>
        <w:t>一、货物内容</w:t>
      </w:r>
    </w:p>
    <w:tbl>
      <w:tblPr>
        <w:tblStyle w:val="21"/>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44"/>
        <w:gridCol w:w="450"/>
        <w:gridCol w:w="1184"/>
        <w:gridCol w:w="600"/>
        <w:gridCol w:w="616"/>
        <w:gridCol w:w="1217"/>
        <w:gridCol w:w="1250"/>
        <w:gridCol w:w="1763"/>
      </w:tblGrid>
      <w:tr w14:paraId="2CF5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1"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14:paraId="1E7D2F71">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43A2932">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货物名称</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9B92728">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品牌</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0655CCF">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规格型号</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87AEAC5">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1315A73F">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数量</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E470C21">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单价</w:t>
            </w:r>
          </w:p>
          <w:p w14:paraId="66760EB8">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（含税）</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977F176">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金额</w:t>
            </w:r>
          </w:p>
          <w:p w14:paraId="383D4E3C">
            <w:pPr>
              <w:spacing w:line="360" w:lineRule="auto"/>
              <w:jc w:val="center"/>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（含税）</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24B032">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质量技术标准</w:t>
            </w:r>
          </w:p>
        </w:tc>
      </w:tr>
      <w:tr w14:paraId="51C8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14:paraId="358997D6">
            <w:pPr>
              <w:widowControl/>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4089349">
            <w:pPr>
              <w:widowControl/>
              <w:spacing w:line="360" w:lineRule="auto"/>
              <w:jc w:val="center"/>
              <w:rPr>
                <w:rFonts w:hint="eastAsia" w:ascii="方正仿宋_GB2312" w:hAnsi="方正仿宋_GB2312" w:eastAsia="方正仿宋_GB2312" w:cs="方正仿宋_GB2312"/>
                <w:sz w:val="24"/>
                <w:szCs w:val="24"/>
              </w:rPr>
            </w:pPr>
          </w:p>
        </w:tc>
        <w:tc>
          <w:tcPr>
            <w:tcW w:w="450" w:type="dxa"/>
            <w:tcBorders>
              <w:top w:val="single" w:color="auto" w:sz="4" w:space="0"/>
              <w:left w:val="single" w:color="auto" w:sz="4" w:space="0"/>
              <w:bottom w:val="single" w:color="auto" w:sz="4" w:space="0"/>
              <w:right w:val="single" w:color="auto" w:sz="4" w:space="0"/>
            </w:tcBorders>
            <w:noWrap w:val="0"/>
            <w:vAlign w:val="center"/>
          </w:tcPr>
          <w:p w14:paraId="04033997">
            <w:pPr>
              <w:widowControl/>
              <w:spacing w:line="360" w:lineRule="auto"/>
              <w:jc w:val="center"/>
              <w:rPr>
                <w:rFonts w:hint="eastAsia" w:ascii="方正仿宋_GB2312" w:hAnsi="方正仿宋_GB2312" w:eastAsia="方正仿宋_GB2312" w:cs="方正仿宋_GB2312"/>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8F6DD95">
            <w:pPr>
              <w:widowControl/>
              <w:spacing w:line="360" w:lineRule="auto"/>
              <w:jc w:val="center"/>
              <w:rPr>
                <w:rFonts w:hint="eastAsia" w:ascii="方正仿宋_GB2312" w:hAnsi="方正仿宋_GB2312" w:eastAsia="方正仿宋_GB2312" w:cs="方正仿宋_GB2312"/>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AE5E0A9">
            <w:pPr>
              <w:widowControl/>
              <w:spacing w:line="360" w:lineRule="auto"/>
              <w:jc w:val="center"/>
              <w:rPr>
                <w:rFonts w:hint="eastAsia" w:ascii="方正仿宋_GB2312" w:hAnsi="方正仿宋_GB2312" w:eastAsia="方正仿宋_GB2312" w:cs="方正仿宋_GB2312"/>
                <w:sz w:val="24"/>
                <w:szCs w:val="24"/>
              </w:rPr>
            </w:pPr>
          </w:p>
        </w:tc>
        <w:tc>
          <w:tcPr>
            <w:tcW w:w="616" w:type="dxa"/>
            <w:tcBorders>
              <w:top w:val="single" w:color="auto" w:sz="4" w:space="0"/>
              <w:left w:val="single" w:color="auto" w:sz="4" w:space="0"/>
              <w:bottom w:val="single" w:color="auto" w:sz="4" w:space="0"/>
              <w:right w:val="single" w:color="auto" w:sz="4" w:space="0"/>
            </w:tcBorders>
            <w:noWrap w:val="0"/>
            <w:vAlign w:val="center"/>
          </w:tcPr>
          <w:p w14:paraId="23518A8C">
            <w:pPr>
              <w:widowControl/>
              <w:spacing w:line="360" w:lineRule="auto"/>
              <w:jc w:val="center"/>
              <w:rPr>
                <w:rFonts w:hint="eastAsia" w:ascii="方正仿宋_GB2312" w:hAnsi="方正仿宋_GB2312" w:eastAsia="方正仿宋_GB2312" w:cs="方正仿宋_GB2312"/>
                <w:b/>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780E48F">
            <w:pPr>
              <w:widowControl/>
              <w:spacing w:line="360" w:lineRule="auto"/>
              <w:jc w:val="center"/>
              <w:textAlignment w:val="center"/>
              <w:rPr>
                <w:rFonts w:hint="eastAsia" w:ascii="方正仿宋_GB2312" w:hAnsi="方正仿宋_GB2312" w:eastAsia="方正仿宋_GB2312" w:cs="方正仿宋_GB2312"/>
                <w:b/>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40F4BCF">
            <w:pPr>
              <w:widowControl/>
              <w:spacing w:line="360" w:lineRule="auto"/>
              <w:jc w:val="center"/>
              <w:textAlignment w:val="center"/>
              <w:rPr>
                <w:rFonts w:hint="eastAsia" w:ascii="方正仿宋_GB2312" w:hAnsi="方正仿宋_GB2312" w:eastAsia="方正仿宋_GB2312" w:cs="方正仿宋_GB2312"/>
                <w:b/>
                <w:sz w:val="24"/>
                <w:szCs w:val="24"/>
              </w:rPr>
            </w:pPr>
          </w:p>
        </w:tc>
        <w:tc>
          <w:tcPr>
            <w:tcW w:w="1763" w:type="dxa"/>
            <w:tcBorders>
              <w:top w:val="single" w:color="auto" w:sz="4" w:space="0"/>
              <w:left w:val="single" w:color="auto" w:sz="4" w:space="0"/>
              <w:right w:val="single" w:color="auto" w:sz="4" w:space="0"/>
            </w:tcBorders>
            <w:noWrap w:val="0"/>
            <w:vAlign w:val="center"/>
          </w:tcPr>
          <w:p w14:paraId="3A9C8D17">
            <w:pPr>
              <w:spacing w:line="360" w:lineRule="auto"/>
              <w:rPr>
                <w:rFonts w:hint="eastAsia" w:ascii="方正仿宋_GB2312" w:hAnsi="方正仿宋_GB2312" w:eastAsia="方正仿宋_GB2312" w:cs="方正仿宋_GB2312"/>
                <w:sz w:val="24"/>
                <w:szCs w:val="24"/>
              </w:rPr>
            </w:pPr>
          </w:p>
        </w:tc>
      </w:tr>
      <w:tr w14:paraId="5E04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8917" w:type="dxa"/>
            <w:gridSpan w:val="9"/>
            <w:tcBorders>
              <w:top w:val="single" w:color="auto" w:sz="4" w:space="0"/>
              <w:left w:val="single" w:color="auto" w:sz="4" w:space="0"/>
              <w:bottom w:val="single" w:color="auto" w:sz="4" w:space="0"/>
              <w:right w:val="single" w:color="auto" w:sz="4" w:space="0"/>
            </w:tcBorders>
            <w:noWrap w:val="0"/>
            <w:vAlign w:val="center"/>
          </w:tcPr>
          <w:p w14:paraId="675D76E6">
            <w:pPr>
              <w:spacing w:line="360" w:lineRule="auto"/>
              <w:rPr>
                <w:rFonts w:hint="eastAsia" w:ascii="方正仿宋_GB2312" w:hAnsi="方正仿宋_GB2312" w:eastAsia="方正仿宋_GB2312" w:cs="方正仿宋_GB2312"/>
                <w:b/>
                <w:color w:val="FF0000"/>
                <w:sz w:val="24"/>
                <w:szCs w:val="24"/>
              </w:rPr>
            </w:pPr>
            <w:r>
              <w:rPr>
                <w:rFonts w:hint="eastAsia" w:ascii="方正仿宋_GB2312" w:hAnsi="方正仿宋_GB2312" w:eastAsia="方正仿宋_GB2312" w:cs="方正仿宋_GB2312"/>
                <w:b/>
                <w:color w:val="FF0000"/>
                <w:sz w:val="24"/>
                <w:szCs w:val="24"/>
              </w:rPr>
              <w:t>合同总价：（大写）         （小写）元</w:t>
            </w:r>
          </w:p>
        </w:tc>
      </w:tr>
    </w:tbl>
    <w:p w14:paraId="3214D98D">
      <w:pPr>
        <w:spacing w:line="360" w:lineRule="auto"/>
        <w:ind w:left="600"/>
        <w:rPr>
          <w:rFonts w:hint="eastAsia" w:ascii="黑体" w:hAnsi="宋体" w:eastAsia="黑体" w:cs="Times New Roman"/>
          <w:sz w:val="24"/>
          <w:szCs w:val="24"/>
        </w:rPr>
      </w:pPr>
      <w:r>
        <w:rPr>
          <w:rFonts w:hint="eastAsia" w:ascii="黑体" w:hAnsi="宋体" w:eastAsia="黑体" w:cs="Times New Roman"/>
          <w:sz w:val="24"/>
          <w:szCs w:val="24"/>
        </w:rPr>
        <w:t>二、质量要求及技术标准</w:t>
      </w:r>
    </w:p>
    <w:p w14:paraId="5E2C5A96">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（一）乙方所供的货物必须是全新的，符合国家标准的工艺材料制造，符合报价文件的承诺，符合合同规定的规格、技术指标及外观质量要求。</w:t>
      </w:r>
    </w:p>
    <w:p w14:paraId="319079B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（二）质量或规格与合同不符，或证实货物有缺陷的，包括潜在的缺陷，甲方应在10日内以书面形式通知乙方：</w:t>
      </w:r>
    </w:p>
    <w:p w14:paraId="7970CC39">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1.乙方在收到通知后10日内应免费更换有缺陷的货物。</w:t>
      </w:r>
    </w:p>
    <w:p w14:paraId="6D684A0B">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2.如果乙方在收到通知后10日内没有弥补缺陷，甲方可采取必要的补救措施，但风险和费用将由乙方承担。</w:t>
      </w:r>
    </w:p>
    <w:p w14:paraId="03E0F6FB">
      <w:pPr>
        <w:spacing w:line="360" w:lineRule="auto"/>
        <w:ind w:left="600"/>
        <w:rPr>
          <w:rFonts w:ascii="黑体" w:hAnsi="Times New Roman" w:eastAsia="黑体" w:cs="Times New Roman"/>
          <w:sz w:val="24"/>
          <w:szCs w:val="24"/>
        </w:rPr>
      </w:pPr>
      <w:r>
        <w:rPr>
          <w:rFonts w:hint="eastAsia" w:ascii="黑体" w:hAnsi="宋体" w:eastAsia="黑体" w:cs="Times New Roman"/>
          <w:sz w:val="24"/>
          <w:szCs w:val="24"/>
        </w:rPr>
        <w:t>三、包装及技术资料</w:t>
      </w:r>
    </w:p>
    <w:p w14:paraId="57A5723E">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(一）乙方提供的货物要采用国家或行业规定的标准进行包装，每件包装箱内附一份详细装箱清单和质量检验合格证，包装物由乙方免费提供。</w:t>
      </w:r>
    </w:p>
    <w:p w14:paraId="6134BE4E">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（二）乙方提供的货物、技术资料，应有详细的说明，包括货物的规格、技术指标及外观质量情况等。</w:t>
      </w:r>
    </w:p>
    <w:p w14:paraId="7B72B6C4">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四、交货时间、地点、方式</w:t>
      </w:r>
    </w:p>
    <w:p w14:paraId="3BB05DC3">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（一）交货时间：签订合同后</w:t>
      </w:r>
      <w:r>
        <w:rPr>
          <w:rFonts w:hint="eastAsia" w:ascii="Times New Roman" w:hAnsi="Times New Roman" w:eastAsia="仿宋_GB2312"/>
          <w:snapToGrid w:val="0"/>
          <w:color w:val="FF0000"/>
          <w:kern w:val="0"/>
          <w:sz w:val="24"/>
          <w:szCs w:val="24"/>
          <w:u w:val="single"/>
        </w:rPr>
        <w:t xml:space="preserve"> 7 </w:t>
      </w:r>
      <w:r>
        <w:rPr>
          <w:rFonts w:hint="eastAsia" w:ascii="Times New Roman" w:hAnsi="Times New Roman" w:eastAsia="仿宋_GB2312"/>
          <w:snapToGrid w:val="0"/>
          <w:color w:val="FF0000"/>
          <w:kern w:val="0"/>
          <w:sz w:val="24"/>
          <w:szCs w:val="24"/>
        </w:rPr>
        <w:t>日</w:t>
      </w:r>
      <w:r>
        <w:rPr>
          <w:rFonts w:hint="eastAsia" w:ascii="Times New Roman" w:hAnsi="Times New Roman" w:eastAsia="仿宋_GB2312"/>
          <w:snapToGrid w:val="0"/>
          <w:kern w:val="0"/>
          <w:sz w:val="24"/>
          <w:szCs w:val="24"/>
        </w:rPr>
        <w:t>内送货安装完毕</w:t>
      </w:r>
      <w:r>
        <w:rPr>
          <w:rFonts w:ascii="Times New Roman" w:hAnsi="Times New Roman" w:eastAsia="仿宋_GB2312"/>
          <w:snapToGrid w:val="0"/>
          <w:kern w:val="0"/>
          <w:sz w:val="24"/>
          <w:szCs w:val="24"/>
        </w:rPr>
        <w:t>。</w:t>
      </w:r>
    </w:p>
    <w:p w14:paraId="57CF6F2C">
      <w:pPr>
        <w:pStyle w:val="11"/>
        <w:spacing w:line="360" w:lineRule="auto"/>
        <w:ind w:firstLine="480" w:firstLineChars="200"/>
        <w:rPr>
          <w:rFonts w:ascii="Times New Roman" w:hAnsi="Times New Roman" w:eastAsia="仿宋_GB2312"/>
          <w:snapToGrid w:val="0"/>
          <w:kern w:val="0"/>
          <w:sz w:val="24"/>
          <w:szCs w:val="24"/>
          <w:u w:val="single"/>
        </w:rPr>
      </w:pPr>
      <w:r>
        <w:rPr>
          <w:rFonts w:hint="eastAsia" w:ascii="Times New Roman" w:hAnsi="Times New Roman" w:eastAsia="仿宋_GB2312"/>
          <w:snapToGrid w:val="0"/>
          <w:kern w:val="0"/>
          <w:sz w:val="24"/>
          <w:szCs w:val="24"/>
        </w:rPr>
        <w:t>（二）交货地点：</w:t>
      </w:r>
      <w:r>
        <w:rPr>
          <w:rFonts w:hint="eastAsia" w:ascii="Times New Roman" w:hAnsi="Times New Roman" w:eastAsia="仿宋_GB2312"/>
          <w:snapToGrid w:val="0"/>
          <w:kern w:val="0"/>
          <w:sz w:val="24"/>
          <w:szCs w:val="24"/>
          <w:u w:val="single"/>
        </w:rPr>
        <w:t xml:space="preserve"> </w:t>
      </w:r>
      <w:r>
        <w:rPr>
          <w:rFonts w:hint="eastAsia" w:ascii="Times New Roman" w:hAnsi="Times New Roman" w:eastAsia="仿宋_GB2312"/>
          <w:snapToGrid w:val="0"/>
          <w:color w:val="FF0000"/>
          <w:kern w:val="0"/>
          <w:sz w:val="24"/>
          <w:szCs w:val="24"/>
          <w:u w:val="single"/>
        </w:rPr>
        <w:t>甲方指定地点</w:t>
      </w:r>
      <w:r>
        <w:rPr>
          <w:rFonts w:hint="eastAsia" w:ascii="Times New Roman" w:hAnsi="Times New Roman" w:eastAsia="仿宋_GB2312"/>
          <w:snapToGrid w:val="0"/>
          <w:kern w:val="0"/>
          <w:sz w:val="24"/>
          <w:szCs w:val="24"/>
          <w:u w:val="single"/>
        </w:rPr>
        <w:t xml:space="preserve"> </w:t>
      </w:r>
    </w:p>
    <w:p w14:paraId="459CDBB6">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（三）交货方式：</w:t>
      </w:r>
      <w:r>
        <w:rPr>
          <w:rFonts w:ascii="Times New Roman" w:hAnsi="Times New Roman" w:eastAsia="仿宋_GB2312"/>
          <w:snapToGrid w:val="0"/>
          <w:kern w:val="0"/>
          <w:sz w:val="24"/>
          <w:szCs w:val="24"/>
        </w:rPr>
        <w:t xml:space="preserve"> </w:t>
      </w:r>
      <w:r>
        <w:rPr>
          <w:rFonts w:hint="eastAsia" w:ascii="Times New Roman" w:hAnsi="Times New Roman" w:eastAsia="仿宋_GB2312"/>
          <w:snapToGrid w:val="0"/>
          <w:kern w:val="0"/>
          <w:sz w:val="24"/>
          <w:szCs w:val="24"/>
        </w:rPr>
        <w:t>送货上门安装调试</w:t>
      </w:r>
    </w:p>
    <w:p w14:paraId="4AEC72C1">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五、质量验收</w:t>
      </w:r>
    </w:p>
    <w:p w14:paraId="02E0E747">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（一）货物交付前，乙方应对货物进行全面自检，符合交付条件后，由收货单位组织验收，并填写到货验收单。</w:t>
      </w:r>
    </w:p>
    <w:p w14:paraId="3F0D5289">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（二）在交货时乙方应对所提供的产品出具国家标准规定的产品合格证或国家认可的行业标准规定的产品合格证。</w:t>
      </w:r>
    </w:p>
    <w:p w14:paraId="6C2E87CD">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（三）甲方在交货前有权对乙方提供的货物、技术、服务提出异议，并采取相关措施确保质量合格。</w:t>
      </w:r>
    </w:p>
    <w:p w14:paraId="0E86903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（四）具体组织程序、验收标准和方法，按需求方、甲方规定程序执行，乙方配合。</w:t>
      </w:r>
    </w:p>
    <w:p w14:paraId="2671A681">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六、售后服务</w:t>
      </w:r>
    </w:p>
    <w:p w14:paraId="3D22E0E8">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（一）乙方需提供为期</w:t>
      </w:r>
      <w:r>
        <w:rPr>
          <w:rFonts w:hint="eastAsia" w:ascii="Times New Roman" w:hAnsi="Times New Roman" w:eastAsia="仿宋_GB2312"/>
          <w:snapToGrid w:val="0"/>
          <w:kern w:val="0"/>
          <w:sz w:val="24"/>
          <w:szCs w:val="24"/>
          <w:u w:val="single"/>
        </w:rPr>
        <w:t>叁</w:t>
      </w:r>
      <w:r>
        <w:rPr>
          <w:rFonts w:hint="eastAsia" w:ascii="Times New Roman" w:hAnsi="Times New Roman" w:eastAsia="仿宋_GB2312"/>
          <w:snapToGrid w:val="0"/>
          <w:kern w:val="0"/>
          <w:sz w:val="24"/>
          <w:szCs w:val="24"/>
        </w:rPr>
        <w:t>年的质保期，质保期内免费保修；质保期满，负责产品终身维修，并只收取零配件的成本费用。</w:t>
      </w:r>
    </w:p>
    <w:p w14:paraId="4912D20E">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（二）乙方对甲方的维修、退换货要求，应做到</w:t>
      </w:r>
      <w:r>
        <w:rPr>
          <w:rFonts w:hint="eastAsia" w:ascii="Times New Roman" w:hAnsi="Times New Roman" w:eastAsia="仿宋_GB2312"/>
          <w:snapToGrid w:val="0"/>
          <w:kern w:val="0"/>
          <w:sz w:val="24"/>
          <w:szCs w:val="24"/>
          <w:u w:val="single"/>
        </w:rPr>
        <w:t>24</w:t>
      </w:r>
      <w:r>
        <w:rPr>
          <w:rFonts w:hint="eastAsia" w:ascii="Times New Roman" w:hAnsi="Times New Roman" w:eastAsia="仿宋_GB2312"/>
          <w:snapToGrid w:val="0"/>
          <w:kern w:val="0"/>
          <w:sz w:val="24"/>
          <w:szCs w:val="24"/>
        </w:rPr>
        <w:t>小时内响应，</w:t>
      </w:r>
      <w:r>
        <w:rPr>
          <w:rFonts w:hint="eastAsia" w:ascii="Times New Roman" w:hAnsi="Times New Roman" w:eastAsia="仿宋_GB2312"/>
          <w:snapToGrid w:val="0"/>
          <w:kern w:val="0"/>
          <w:sz w:val="24"/>
          <w:szCs w:val="24"/>
          <w:u w:val="single"/>
        </w:rPr>
        <w:t>48</w:t>
      </w:r>
      <w:r>
        <w:rPr>
          <w:rFonts w:hint="eastAsia" w:ascii="Times New Roman" w:hAnsi="Times New Roman" w:eastAsia="仿宋_GB2312"/>
          <w:snapToGrid w:val="0"/>
          <w:kern w:val="0"/>
          <w:sz w:val="24"/>
          <w:szCs w:val="24"/>
        </w:rPr>
        <w:t>小时内赶到现场并积极配合处理。</w:t>
      </w:r>
    </w:p>
    <w:p w14:paraId="70340B47">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（三）其他在报价文件中承诺的所有售后服务事宜。</w:t>
      </w:r>
    </w:p>
    <w:p w14:paraId="3D77402E">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 xml:space="preserve">   七、资金结算</w:t>
      </w:r>
    </w:p>
    <w:p w14:paraId="307A0E3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合同总额为¥</w:t>
      </w:r>
      <w:r>
        <w:rPr>
          <w:rFonts w:hint="eastAsia" w:ascii="Times New Roman" w:hAnsi="Times New Roman" w:eastAsia="仿宋_GB2312"/>
          <w:snapToGrid w:val="0"/>
          <w:kern w:val="0"/>
          <w:sz w:val="24"/>
          <w:szCs w:val="24"/>
          <w:u w:val="single"/>
          <w:lang w:val="en-US" w:eastAsia="zh-CN"/>
        </w:rPr>
        <w:t xml:space="preserve">         </w:t>
      </w:r>
      <w:r>
        <w:rPr>
          <w:rFonts w:hint="eastAsia" w:ascii="Times New Roman" w:hAnsi="Times New Roman" w:eastAsia="仿宋_GB2312"/>
          <w:snapToGrid w:val="0"/>
          <w:kern w:val="0"/>
          <w:sz w:val="24"/>
          <w:szCs w:val="24"/>
        </w:rPr>
        <w:t>元。合同签订且具备实施条件后7个工作日内甲方向乙方支付合同金额的</w:t>
      </w:r>
      <w:r>
        <w:rPr>
          <w:rFonts w:hint="eastAsia" w:ascii="Times New Roman" w:hAnsi="Times New Roman" w:eastAsia="仿宋_GB2312"/>
          <w:snapToGrid w:val="0"/>
          <w:kern w:val="0"/>
          <w:sz w:val="24"/>
          <w:szCs w:val="24"/>
          <w:lang w:val="en-US" w:eastAsia="zh-CN"/>
        </w:rPr>
        <w:t>6</w:t>
      </w:r>
      <w:r>
        <w:rPr>
          <w:rFonts w:hint="eastAsia" w:ascii="Times New Roman" w:hAnsi="Times New Roman" w:eastAsia="仿宋_GB2312"/>
          <w:snapToGrid w:val="0"/>
          <w:kern w:val="0"/>
          <w:sz w:val="24"/>
          <w:szCs w:val="24"/>
        </w:rPr>
        <w:t>0%作为预付款，即¥</w:t>
      </w:r>
      <w:r>
        <w:rPr>
          <w:rFonts w:hint="eastAsia" w:ascii="Times New Roman" w:hAnsi="Times New Roman" w:eastAsia="仿宋_GB2312"/>
          <w:snapToGrid w:val="0"/>
          <w:kern w:val="0"/>
          <w:sz w:val="24"/>
          <w:szCs w:val="24"/>
          <w:u w:val="single"/>
          <w:lang w:val="en-US" w:eastAsia="zh-CN"/>
        </w:rPr>
        <w:t xml:space="preserve">           </w:t>
      </w:r>
      <w:r>
        <w:rPr>
          <w:rFonts w:hint="eastAsia" w:ascii="Times New Roman" w:hAnsi="Times New Roman" w:eastAsia="仿宋_GB2312"/>
          <w:snapToGrid w:val="0"/>
          <w:kern w:val="0"/>
          <w:sz w:val="24"/>
          <w:szCs w:val="24"/>
        </w:rPr>
        <w:t>元</w:t>
      </w:r>
      <w:r>
        <w:rPr>
          <w:rFonts w:hint="eastAsia" w:ascii="Times New Roman" w:hAnsi="Times New Roman" w:eastAsia="仿宋_GB2312"/>
          <w:snapToGrid w:val="0"/>
          <w:kern w:val="0"/>
          <w:sz w:val="24"/>
          <w:szCs w:val="24"/>
          <w:lang w:eastAsia="zh-CN"/>
        </w:rPr>
        <w:t>；</w:t>
      </w:r>
      <w:r>
        <w:rPr>
          <w:rFonts w:hint="eastAsia" w:ascii="Times New Roman" w:hAnsi="Times New Roman" w:eastAsia="仿宋_GB2312"/>
          <w:snapToGrid w:val="0"/>
          <w:kern w:val="0"/>
          <w:sz w:val="24"/>
          <w:szCs w:val="24"/>
        </w:rPr>
        <w:t>项目验收通过后</w:t>
      </w:r>
      <w:r>
        <w:rPr>
          <w:rFonts w:hint="eastAsia" w:ascii="Times New Roman" w:hAnsi="Times New Roman" w:eastAsia="仿宋_GB2312"/>
          <w:snapToGrid w:val="0"/>
          <w:kern w:val="0"/>
          <w:sz w:val="24"/>
          <w:szCs w:val="24"/>
          <w:lang w:eastAsia="zh-CN"/>
        </w:rPr>
        <w:t>，</w:t>
      </w:r>
      <w:r>
        <w:rPr>
          <w:rFonts w:hint="eastAsia" w:ascii="Times New Roman" w:hAnsi="Times New Roman" w:eastAsia="仿宋_GB2312"/>
          <w:snapToGrid w:val="0"/>
          <w:kern w:val="0"/>
          <w:sz w:val="24"/>
          <w:szCs w:val="24"/>
        </w:rPr>
        <w:t>甲方向乙方支付合同金额的</w:t>
      </w:r>
      <w:r>
        <w:rPr>
          <w:rFonts w:hint="eastAsia" w:ascii="Times New Roman" w:hAnsi="Times New Roman" w:eastAsia="仿宋_GB2312"/>
          <w:snapToGrid w:val="0"/>
          <w:kern w:val="0"/>
          <w:sz w:val="24"/>
          <w:szCs w:val="24"/>
          <w:lang w:val="en-US" w:eastAsia="zh-CN"/>
        </w:rPr>
        <w:t>3</w:t>
      </w:r>
      <w:r>
        <w:rPr>
          <w:rFonts w:hint="eastAsia" w:ascii="Times New Roman" w:hAnsi="Times New Roman" w:eastAsia="仿宋_GB2312"/>
          <w:snapToGrid w:val="0"/>
          <w:kern w:val="0"/>
          <w:sz w:val="24"/>
          <w:szCs w:val="24"/>
        </w:rPr>
        <w:t>0%作为</w:t>
      </w:r>
      <w:r>
        <w:rPr>
          <w:rFonts w:hint="eastAsia" w:ascii="Times New Roman" w:hAnsi="Times New Roman" w:eastAsia="仿宋_GB2312"/>
          <w:snapToGrid w:val="0"/>
          <w:kern w:val="0"/>
          <w:sz w:val="24"/>
          <w:szCs w:val="24"/>
          <w:lang w:val="en-US" w:eastAsia="zh-CN"/>
        </w:rPr>
        <w:t>验收</w:t>
      </w:r>
      <w:r>
        <w:rPr>
          <w:rFonts w:hint="eastAsia" w:ascii="Times New Roman" w:hAnsi="Times New Roman" w:eastAsia="仿宋_GB2312"/>
          <w:snapToGrid w:val="0"/>
          <w:kern w:val="0"/>
          <w:sz w:val="24"/>
          <w:szCs w:val="24"/>
        </w:rPr>
        <w:t>款，即¥</w:t>
      </w:r>
      <w:r>
        <w:rPr>
          <w:rFonts w:hint="eastAsia" w:ascii="Times New Roman" w:hAnsi="Times New Roman" w:eastAsia="仿宋_GB2312"/>
          <w:snapToGrid w:val="0"/>
          <w:kern w:val="0"/>
          <w:sz w:val="24"/>
          <w:szCs w:val="24"/>
          <w:u w:val="single"/>
          <w:lang w:val="en-US" w:eastAsia="zh-CN"/>
        </w:rPr>
        <w:t xml:space="preserve">           </w:t>
      </w:r>
      <w:r>
        <w:rPr>
          <w:rFonts w:hint="eastAsia" w:ascii="Times New Roman" w:hAnsi="Times New Roman" w:eastAsia="仿宋_GB2312"/>
          <w:snapToGrid w:val="0"/>
          <w:kern w:val="0"/>
          <w:sz w:val="24"/>
          <w:szCs w:val="24"/>
        </w:rPr>
        <w:t>元</w:t>
      </w:r>
      <w:r>
        <w:rPr>
          <w:rFonts w:hint="eastAsia" w:ascii="Times New Roman" w:hAnsi="Times New Roman" w:eastAsia="仿宋_GB2312"/>
          <w:snapToGrid w:val="0"/>
          <w:kern w:val="0"/>
          <w:sz w:val="24"/>
          <w:szCs w:val="24"/>
          <w:lang w:eastAsia="zh-CN"/>
        </w:rPr>
        <w:t>；</w:t>
      </w:r>
      <w:r>
        <w:rPr>
          <w:rFonts w:hint="eastAsia" w:ascii="Times New Roman" w:hAnsi="Times New Roman" w:eastAsia="仿宋_GB2312"/>
          <w:snapToGrid w:val="0"/>
          <w:kern w:val="0"/>
          <w:sz w:val="24"/>
          <w:szCs w:val="24"/>
        </w:rPr>
        <w:t>项目验收一年</w:t>
      </w:r>
      <w:r>
        <w:rPr>
          <w:rFonts w:hint="eastAsia" w:ascii="Times New Roman" w:hAnsi="Times New Roman" w:eastAsia="仿宋_GB2312"/>
          <w:snapToGrid w:val="0"/>
          <w:kern w:val="0"/>
          <w:sz w:val="24"/>
          <w:szCs w:val="24"/>
          <w:lang w:val="en-US" w:eastAsia="zh-CN"/>
        </w:rPr>
        <w:t>后</w:t>
      </w:r>
      <w:r>
        <w:rPr>
          <w:rFonts w:hint="eastAsia" w:ascii="Times New Roman" w:hAnsi="Times New Roman" w:eastAsia="仿宋_GB2312"/>
          <w:snapToGrid w:val="0"/>
          <w:kern w:val="0"/>
          <w:sz w:val="24"/>
          <w:szCs w:val="24"/>
        </w:rPr>
        <w:t>甲方凭乙方提供的发票支付合同剩余</w:t>
      </w:r>
      <w:r>
        <w:rPr>
          <w:rFonts w:hint="eastAsia" w:ascii="Times New Roman" w:hAnsi="Times New Roman" w:eastAsia="仿宋_GB2312"/>
          <w:snapToGrid w:val="0"/>
          <w:kern w:val="0"/>
          <w:sz w:val="24"/>
          <w:szCs w:val="24"/>
          <w:lang w:val="en-US" w:eastAsia="zh-CN"/>
        </w:rPr>
        <w:t>1</w:t>
      </w:r>
      <w:r>
        <w:rPr>
          <w:rFonts w:hint="eastAsia" w:ascii="Times New Roman" w:hAnsi="Times New Roman" w:eastAsia="仿宋_GB2312"/>
          <w:snapToGrid w:val="0"/>
          <w:kern w:val="0"/>
          <w:sz w:val="24"/>
          <w:szCs w:val="24"/>
        </w:rPr>
        <w:t>0%货款，即¥</w:t>
      </w:r>
      <w:r>
        <w:rPr>
          <w:rFonts w:hint="eastAsia" w:ascii="Times New Roman" w:hAnsi="Times New Roman" w:eastAsia="仿宋_GB2312"/>
          <w:snapToGrid w:val="0"/>
          <w:kern w:val="0"/>
          <w:sz w:val="24"/>
          <w:szCs w:val="24"/>
          <w:u w:val="single"/>
          <w:lang w:val="en-US" w:eastAsia="zh-CN"/>
        </w:rPr>
        <w:t xml:space="preserve">         </w:t>
      </w:r>
      <w:r>
        <w:rPr>
          <w:rFonts w:hint="eastAsia" w:ascii="Times New Roman" w:hAnsi="Times New Roman" w:eastAsia="仿宋_GB2312"/>
          <w:snapToGrid w:val="0"/>
          <w:kern w:val="0"/>
          <w:sz w:val="24"/>
          <w:szCs w:val="24"/>
        </w:rPr>
        <w:t>元。（具体以财务结算部门要求为准）</w:t>
      </w:r>
    </w:p>
    <w:p w14:paraId="6D59FC31">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八、知识产权</w:t>
      </w:r>
    </w:p>
    <w:p w14:paraId="0457F632">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乙方应保证需求方在使用货物和服务时不受第三方提出侵犯其专利权、商标权和工业设计权的起诉，甲方、需求方不承担任何连带责任和赔偿责任。</w:t>
      </w:r>
    </w:p>
    <w:p w14:paraId="20092E31">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九、违约责任</w:t>
      </w:r>
    </w:p>
    <w:p w14:paraId="3ABEEFCB">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（一）乙方未经甲方、需求方同意而延期交货时，应向甲方偿付违约金，违约金每天按违约货物金额的</w:t>
      </w:r>
      <w:r>
        <w:rPr>
          <w:rFonts w:hint="eastAsia" w:ascii="Times New Roman" w:hAnsi="Times New Roman" w:eastAsia="仿宋_GB2312"/>
          <w:snapToGrid w:val="0"/>
          <w:color w:val="FF0000"/>
          <w:kern w:val="0"/>
          <w:sz w:val="24"/>
          <w:szCs w:val="24"/>
          <w:u w:val="single"/>
        </w:rPr>
        <w:t xml:space="preserve"> 0.1 </w:t>
      </w:r>
      <w:r>
        <w:rPr>
          <w:rFonts w:hint="eastAsia" w:ascii="Times New Roman" w:hAnsi="Times New Roman" w:eastAsia="仿宋_GB2312"/>
          <w:snapToGrid w:val="0"/>
          <w:color w:val="FF0000"/>
          <w:kern w:val="0"/>
          <w:sz w:val="24"/>
          <w:szCs w:val="24"/>
        </w:rPr>
        <w:t>‰</w:t>
      </w:r>
      <w:r>
        <w:rPr>
          <w:rFonts w:hint="eastAsia" w:ascii="Times New Roman" w:hAnsi="Times New Roman" w:eastAsia="仿宋_GB2312"/>
          <w:snapToGrid w:val="0"/>
          <w:kern w:val="0"/>
          <w:sz w:val="24"/>
          <w:szCs w:val="24"/>
        </w:rPr>
        <w:t>计算，违约金最高限额为违约总金额的</w:t>
      </w:r>
      <w:r>
        <w:rPr>
          <w:rFonts w:hint="eastAsia" w:ascii="Times New Roman" w:hAnsi="Times New Roman" w:eastAsia="仿宋_GB2312"/>
          <w:snapToGrid w:val="0"/>
          <w:color w:val="FF0000"/>
          <w:kern w:val="0"/>
          <w:sz w:val="24"/>
          <w:szCs w:val="24"/>
          <w:u w:val="single"/>
        </w:rPr>
        <w:t xml:space="preserve"> 5 </w:t>
      </w:r>
      <w:r>
        <w:rPr>
          <w:rFonts w:ascii="Times New Roman" w:hAnsi="Times New Roman" w:eastAsia="仿宋_GB2312"/>
          <w:snapToGrid w:val="0"/>
          <w:color w:val="FF0000"/>
          <w:kern w:val="0"/>
          <w:sz w:val="24"/>
          <w:szCs w:val="24"/>
        </w:rPr>
        <w:t>%</w:t>
      </w:r>
      <w:r>
        <w:rPr>
          <w:rFonts w:hint="eastAsia" w:ascii="Times New Roman" w:hAnsi="Times New Roman" w:eastAsia="仿宋_GB2312"/>
          <w:snapToGrid w:val="0"/>
          <w:kern w:val="0"/>
          <w:sz w:val="24"/>
          <w:szCs w:val="24"/>
        </w:rPr>
        <w:t>。如果达到违约金最高限额时仍不能交货，甲方可以终止合同，而由此给甲方、需求方造成的实际损失，乙方应给予足额赔偿。</w:t>
      </w:r>
    </w:p>
    <w:p w14:paraId="4C9A7371">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（二）乙方未按合同约定履行服务义务而给使用单位造成损失的，乙方要按损失金额予以赔偿。</w:t>
      </w:r>
    </w:p>
    <w:p w14:paraId="2F9B71C2">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（三）甲方未按约定及时足额支付货款时，每迟付一天按违约金额</w:t>
      </w:r>
      <w:r>
        <w:rPr>
          <w:rFonts w:hint="eastAsia" w:ascii="Times New Roman" w:hAnsi="Times New Roman" w:eastAsia="仿宋_GB2312"/>
          <w:snapToGrid w:val="0"/>
          <w:color w:val="FF0000"/>
          <w:kern w:val="0"/>
          <w:sz w:val="24"/>
          <w:szCs w:val="24"/>
          <w:u w:val="single"/>
        </w:rPr>
        <w:t xml:space="preserve"> 0.1 </w:t>
      </w:r>
      <w:r>
        <w:rPr>
          <w:rFonts w:hint="eastAsia" w:ascii="Times New Roman" w:hAnsi="Times New Roman" w:eastAsia="仿宋_GB2312"/>
          <w:snapToGrid w:val="0"/>
          <w:color w:val="FF0000"/>
          <w:kern w:val="0"/>
          <w:sz w:val="24"/>
          <w:szCs w:val="24"/>
        </w:rPr>
        <w:t>‰</w:t>
      </w:r>
      <w:r>
        <w:rPr>
          <w:rFonts w:hint="eastAsia" w:ascii="Times New Roman" w:hAnsi="Times New Roman" w:eastAsia="仿宋_GB2312"/>
          <w:snapToGrid w:val="0"/>
          <w:kern w:val="0"/>
          <w:sz w:val="24"/>
          <w:szCs w:val="24"/>
        </w:rPr>
        <w:t>向乙方偿付违约金，违约金最高限额为违约总金额的</w:t>
      </w:r>
      <w:r>
        <w:rPr>
          <w:rFonts w:hint="eastAsia" w:ascii="Times New Roman" w:hAnsi="Times New Roman" w:eastAsia="仿宋_GB2312"/>
          <w:snapToGrid w:val="0"/>
          <w:color w:val="FF0000"/>
          <w:kern w:val="0"/>
          <w:sz w:val="24"/>
          <w:szCs w:val="24"/>
          <w:u w:val="single"/>
        </w:rPr>
        <w:t xml:space="preserve"> 5</w:t>
      </w:r>
      <w:r>
        <w:rPr>
          <w:rFonts w:ascii="Times New Roman" w:hAnsi="Times New Roman" w:eastAsia="仿宋_GB2312"/>
          <w:snapToGrid w:val="0"/>
          <w:color w:val="FF0000"/>
          <w:kern w:val="0"/>
          <w:sz w:val="24"/>
          <w:szCs w:val="24"/>
          <w:u w:val="single"/>
        </w:rPr>
        <w:t xml:space="preserve"> </w:t>
      </w:r>
      <w:r>
        <w:rPr>
          <w:rFonts w:ascii="Times New Roman" w:hAnsi="Times New Roman" w:eastAsia="仿宋_GB2312"/>
          <w:snapToGrid w:val="0"/>
          <w:color w:val="FF0000"/>
          <w:kern w:val="0"/>
          <w:sz w:val="24"/>
          <w:szCs w:val="24"/>
        </w:rPr>
        <w:t>%</w:t>
      </w:r>
      <w:r>
        <w:rPr>
          <w:rFonts w:hint="eastAsia" w:ascii="Times New Roman" w:hAnsi="Times New Roman" w:eastAsia="仿宋_GB2312"/>
          <w:snapToGrid w:val="0"/>
          <w:kern w:val="0"/>
          <w:sz w:val="24"/>
          <w:szCs w:val="24"/>
        </w:rPr>
        <w:t>。</w:t>
      </w:r>
    </w:p>
    <w:p w14:paraId="4E28EFA3">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十、争议解决方式</w:t>
      </w:r>
    </w:p>
    <w:p w14:paraId="77136526">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合同履行过程中，发生争议时，可以协商解决，如协商不能解决，则应向甲方所在地的仲裁机构申请仲裁，仲裁费由承担责任的一方承担。在仲裁期间，除正在仲裁的部分外，合同的其他部分应继续执行。</w:t>
      </w:r>
    </w:p>
    <w:p w14:paraId="558C9FC9">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十一、其他约定事项</w:t>
      </w:r>
    </w:p>
    <w:p w14:paraId="5AD5FD4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（一）由于不可抗力因素影响合同履行时，未能履约的一方要在事发后  小时内将情况通知对方，并在事发后15日内向对方出具权威部门的证明文件。如果不可抗力影响持续15日以上，甲乙双方可以重新商定合同履行问题。</w:t>
      </w:r>
    </w:p>
    <w:p w14:paraId="09DD4DD7">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（二）乙方应专门对所供产品的技术资料、设计文件按密级管理，不得泄密，甲方有权收回与此次采购有关的资料。</w:t>
      </w:r>
    </w:p>
    <w:p w14:paraId="4B4BD17D">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（三）需求方对合同采购的货物和服务在交货日期前有追加采购的权力。</w:t>
      </w:r>
    </w:p>
    <w:p w14:paraId="25F9385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（四）乙方承诺接受甲方对其资质和履约能力进行监管，并保证在其资质和履约能力发生变化时向甲方通报，乙方不能履行合同时，甲方有权中止执行合同。</w:t>
      </w:r>
    </w:p>
    <w:p w14:paraId="5B0A0B95">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（五）未尽事宜，甲方、乙方协商解决。</w:t>
      </w:r>
    </w:p>
    <w:p w14:paraId="30A24C36">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十二、合同生效</w:t>
      </w:r>
    </w:p>
    <w:p w14:paraId="1A536778">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（一）本合同经甲方、乙方共同签署，并加盖单位印章后生效。未经甲方允许，乙方不得部分或全部转让其应履行的合同义务。</w:t>
      </w:r>
    </w:p>
    <w:p w14:paraId="35C76EC0">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（二）本合同一式六份，由甲方执一份，乙方执两份，物资集中采购中心、财务部门和业务管理部门各留存一份。</w:t>
      </w:r>
    </w:p>
    <w:p w14:paraId="58DC7812">
      <w:pPr>
        <w:spacing w:line="360" w:lineRule="auto"/>
        <w:ind w:left="600"/>
        <w:rPr>
          <w:rFonts w:ascii="黑体" w:hAnsi="宋体" w:eastAsia="黑体" w:cs="Times New Roman"/>
          <w:sz w:val="24"/>
          <w:szCs w:val="24"/>
        </w:rPr>
      </w:pPr>
      <w:r>
        <w:rPr>
          <w:rFonts w:hint="eastAsia" w:ascii="黑体" w:hAnsi="宋体" w:eastAsia="黑体" w:cs="Times New Roman"/>
          <w:sz w:val="24"/>
          <w:szCs w:val="24"/>
        </w:rPr>
        <w:t>十三、合同附件</w:t>
      </w:r>
    </w:p>
    <w:p w14:paraId="461781A4">
      <w:pPr>
        <w:pStyle w:val="11"/>
        <w:spacing w:line="360" w:lineRule="auto"/>
        <w:ind w:firstLine="480" w:firstLineChars="200"/>
        <w:rPr>
          <w:rFonts w:ascii="Times New Roman" w:hAnsi="Times New Roman" w:eastAsia="仿宋_GB2312"/>
          <w:snapToGrid w:val="0"/>
          <w:kern w:val="0"/>
          <w:sz w:val="24"/>
          <w:szCs w:val="24"/>
        </w:rPr>
      </w:pPr>
      <w:r>
        <w:rPr>
          <w:rFonts w:hint="eastAsia" w:ascii="Times New Roman" w:hAnsi="Times New Roman" w:eastAsia="仿宋_GB2312"/>
          <w:snapToGrid w:val="0"/>
          <w:kern w:val="0"/>
          <w:sz w:val="24"/>
          <w:szCs w:val="24"/>
        </w:rPr>
        <w:t>（一）投标（报价）文件及乙方承诺均为本合同附件；</w:t>
      </w:r>
    </w:p>
    <w:p w14:paraId="28AC4891">
      <w:pPr>
        <w:pStyle w:val="11"/>
        <w:spacing w:line="360" w:lineRule="auto"/>
        <w:ind w:firstLine="480" w:firstLineChars="200"/>
        <w:rPr>
          <w:rFonts w:hint="eastAsia"/>
          <w:b/>
          <w:color w:val="000000"/>
          <w:szCs w:val="21"/>
        </w:rPr>
      </w:pPr>
      <w:r>
        <w:rPr>
          <w:rFonts w:ascii="Times New Roman" w:hAnsi="Times New Roman" w:eastAsia="仿宋_GB2312"/>
          <w:snapToGrid w:val="0"/>
          <w:kern w:val="0"/>
          <w:sz w:val="24"/>
          <w:szCs w:val="24"/>
        </w:rPr>
        <w:t>（</w:t>
      </w:r>
      <w:r>
        <w:rPr>
          <w:rFonts w:hint="eastAsia" w:ascii="Times New Roman" w:hAnsi="Times New Roman" w:eastAsia="仿宋_GB2312"/>
          <w:snapToGrid w:val="0"/>
          <w:kern w:val="0"/>
          <w:sz w:val="24"/>
          <w:szCs w:val="24"/>
        </w:rPr>
        <w:t>二</w:t>
      </w:r>
      <w:r>
        <w:rPr>
          <w:rFonts w:ascii="Times New Roman" w:hAnsi="Times New Roman" w:eastAsia="仿宋_GB2312"/>
          <w:snapToGrid w:val="0"/>
          <w:kern w:val="0"/>
          <w:sz w:val="24"/>
          <w:szCs w:val="24"/>
        </w:rPr>
        <w:t>）</w:t>
      </w:r>
      <w:r>
        <w:rPr>
          <w:rFonts w:hint="eastAsia" w:ascii="Times New Roman" w:hAnsi="Times New Roman" w:eastAsia="仿宋_GB2312"/>
          <w:snapToGrid w:val="0"/>
          <w:kern w:val="0"/>
          <w:sz w:val="24"/>
          <w:szCs w:val="24"/>
        </w:rPr>
        <w:t>其他。</w:t>
      </w:r>
      <w:r>
        <w:rPr>
          <w:sz w:val="24"/>
          <w:szCs w:val="24"/>
        </w:rPr>
        <w:t xml:space="preserve"> </w:t>
      </w:r>
    </w:p>
    <w:p w14:paraId="19E9963B">
      <w:pPr>
        <w:ind w:left="6008" w:hanging="6008" w:hangingChars="2850"/>
        <w:rPr>
          <w:rFonts w:hint="eastAsia" w:ascii="Times New Roman" w:hAnsi="Times New Roman" w:eastAsia="宋体" w:cs="Times New Roman"/>
          <w:b/>
          <w:color w:val="000000"/>
          <w:szCs w:val="21"/>
        </w:rPr>
      </w:pPr>
    </w:p>
    <w:p w14:paraId="426ACF62">
      <w:pPr>
        <w:ind w:left="6008" w:hanging="6008" w:hangingChars="2850"/>
        <w:rPr>
          <w:rFonts w:hint="eastAsia" w:ascii="Times New Roman" w:hAnsi="Times New Roman" w:eastAsia="宋体" w:cs="Times New Roman"/>
          <w:b/>
          <w:color w:val="000000"/>
          <w:szCs w:val="21"/>
        </w:rPr>
      </w:pPr>
    </w:p>
    <w:p w14:paraId="221D8D6E">
      <w:pPr>
        <w:ind w:left="6008" w:hanging="6008" w:hangingChars="2850"/>
        <w:rPr>
          <w:rFonts w:hint="eastAsia" w:ascii="Times New Roman" w:hAnsi="Times New Roman" w:eastAsia="宋体" w:cs="Times New Roman"/>
          <w:b/>
          <w:color w:val="000000"/>
          <w:szCs w:val="21"/>
        </w:rPr>
      </w:pPr>
    </w:p>
    <w:p w14:paraId="2D5EE6CE">
      <w:pPr>
        <w:ind w:left="6008" w:hanging="6008" w:hangingChars="2850"/>
        <w:rPr>
          <w:rFonts w:hint="eastAsia" w:ascii="Times New Roman" w:hAnsi="Times New Roman" w:eastAsia="宋体" w:cs="Times New Roman"/>
          <w:b/>
          <w:color w:val="000000"/>
          <w:szCs w:val="21"/>
        </w:rPr>
      </w:pPr>
    </w:p>
    <w:p w14:paraId="216A414E">
      <w:pPr>
        <w:ind w:left="6008" w:hanging="6008" w:hangingChars="2850"/>
        <w:rPr>
          <w:rFonts w:hint="eastAsia" w:ascii="Times New Roman" w:hAnsi="Times New Roman" w:eastAsia="宋体" w:cs="Times New Roman"/>
          <w:b/>
          <w:color w:val="000000"/>
          <w:szCs w:val="21"/>
        </w:rPr>
      </w:pPr>
    </w:p>
    <w:p w14:paraId="14A7D769">
      <w:pPr>
        <w:ind w:left="6008" w:hanging="6008" w:hangingChars="2850"/>
        <w:rPr>
          <w:rFonts w:hint="eastAsia" w:ascii="Times New Roman" w:hAnsi="Times New Roman" w:eastAsia="宋体" w:cs="Times New Roman"/>
          <w:b/>
          <w:color w:val="000000"/>
          <w:szCs w:val="21"/>
        </w:rPr>
      </w:pPr>
    </w:p>
    <w:p w14:paraId="139471C0">
      <w:pPr>
        <w:ind w:left="6008" w:hanging="6840" w:hangingChars="285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甲方（盖章）：陕西中医药大学第二附属医院     乙方（盖章）：</w:t>
      </w:r>
    </w:p>
    <w:p w14:paraId="0E480D13">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地址：咸阳市渭阳西路5号                  地址： </w:t>
      </w:r>
    </w:p>
    <w:p w14:paraId="2466645D">
      <w:pPr>
        <w:spacing w:line="340" w:lineRule="exact"/>
        <w:ind w:firstLine="360" w:firstLineChars="15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账号：</w:t>
      </w:r>
    </w:p>
    <w:p w14:paraId="0F0B5DF9">
      <w:pPr>
        <w:spacing w:line="340" w:lineRule="exact"/>
        <w:ind w:firstLine="5280" w:firstLineChars="220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开户：</w:t>
      </w:r>
    </w:p>
    <w:p w14:paraId="0272FBEE">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主 管 领 导：                             法定代表人（签章） </w:t>
      </w:r>
    </w:p>
    <w:p w14:paraId="18FC4837">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w:t>
      </w:r>
    </w:p>
    <w:p w14:paraId="612FA926">
      <w:pPr>
        <w:spacing w:line="340" w:lineRule="exact"/>
        <w:rPr>
          <w:rFonts w:hint="eastAsia" w:ascii="Times New Roman" w:hAnsi="Times New Roman" w:eastAsia="仿宋_GB2312" w:cs="Times New Roman"/>
          <w:snapToGrid w:val="0"/>
          <w:kern w:val="0"/>
          <w:sz w:val="24"/>
          <w:szCs w:val="24"/>
          <w:lang w:val="en-US" w:eastAsia="zh-CN" w:bidi="ar-SA"/>
        </w:rPr>
      </w:pPr>
    </w:p>
    <w:p w14:paraId="55F5D7B7">
      <w:pPr>
        <w:spacing w:line="340" w:lineRule="exact"/>
        <w:ind w:firstLine="240" w:firstLineChars="100"/>
        <w:rPr>
          <w:rFonts w:hint="eastAsia" w:ascii="Times New Roman" w:hAnsi="Times New Roman" w:eastAsia="仿宋_GB2312" w:cs="Times New Roman"/>
          <w:snapToGrid w:val="0"/>
          <w:kern w:val="0"/>
          <w:sz w:val="24"/>
          <w:szCs w:val="24"/>
          <w:lang w:val="en-US" w:eastAsia="zh-CN" w:bidi="ar-SA"/>
        </w:rPr>
      </w:pPr>
    </w:p>
    <w:p w14:paraId="462D4840">
      <w:pPr>
        <w:spacing w:line="340" w:lineRule="exact"/>
        <w:ind w:firstLine="240" w:firstLineChars="10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经   办  人：                             委托代理人：</w:t>
      </w:r>
    </w:p>
    <w:p w14:paraId="59F3A7C3">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w:t>
      </w:r>
    </w:p>
    <w:p w14:paraId="1C4A30BD">
      <w:pPr>
        <w:spacing w:line="340" w:lineRule="exact"/>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w:t>
      </w:r>
    </w:p>
    <w:p w14:paraId="489C1F91">
      <w:pPr>
        <w:spacing w:line="340" w:lineRule="exact"/>
        <w:ind w:firstLine="240" w:firstLineChars="100"/>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电话：                                    电话：</w:t>
      </w:r>
    </w:p>
    <w:p w14:paraId="3BFDBB55">
      <w:pPr>
        <w:spacing w:line="340" w:lineRule="exact"/>
        <w:ind w:left="479" w:leftChars="228"/>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 xml:space="preserve">      </w:t>
      </w:r>
    </w:p>
    <w:p w14:paraId="0152CB5B">
      <w:pPr>
        <w:spacing w:line="340" w:lineRule="exact"/>
        <w:ind w:left="479" w:leftChars="228"/>
        <w:rPr>
          <w:rFonts w:hint="eastAsia" w:ascii="Times New Roman" w:hAnsi="Times New Roman" w:eastAsia="仿宋_GB2312" w:cs="Times New Roman"/>
          <w:snapToGrid w:val="0"/>
          <w:kern w:val="0"/>
          <w:sz w:val="24"/>
          <w:szCs w:val="24"/>
          <w:lang w:val="en-US" w:eastAsia="zh-CN" w:bidi="ar-SA"/>
        </w:rPr>
      </w:pPr>
      <w:r>
        <w:rPr>
          <w:rFonts w:hint="eastAsia" w:ascii="Times New Roman" w:hAnsi="Times New Roman" w:eastAsia="仿宋_GB2312" w:cs="Times New Roman"/>
          <w:snapToGrid w:val="0"/>
          <w:kern w:val="0"/>
          <w:sz w:val="24"/>
          <w:szCs w:val="24"/>
          <w:lang w:val="en-US" w:eastAsia="zh-CN" w:bidi="ar-SA"/>
        </w:rPr>
        <w:t>年     月    日                              年    月     日</w:t>
      </w:r>
    </w:p>
    <w:p w14:paraId="6E79336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70980B4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3C204A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4E8BAE0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4D5545D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9D5143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0A58C57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3BE22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3A226E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SZRFYZB202412-232</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31044E5">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B26830B">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秦都院区外网无线网络覆盖项目</w:t>
      </w:r>
    </w:p>
    <w:p w14:paraId="305158EC">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489DC82F">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25D915A7">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79376EC7">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35420F5">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秦都院区外网无线网络覆盖项目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SZRFYZB202412-232</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28BD13BC">
      <w:pPr>
        <w:keepNext w:val="0"/>
        <w:keepLines w:val="0"/>
        <w:pageBreakBefore w:val="0"/>
        <w:numPr>
          <w:ilvl w:val="0"/>
          <w:numId w:val="5"/>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4B63CD95">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21F96186">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3187105"/>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秦都院区外网无线网络覆盖项目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SZRFYZB202412-232</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20"/>
        <w:rPr>
          <w:rFonts w:hint="eastAsia" w:ascii="宋体" w:hAnsi="宋体" w:eastAsia="宋体" w:cs="宋体"/>
          <w:sz w:val="24"/>
          <w:szCs w:val="24"/>
          <w:highlight w:val="none"/>
          <w:lang w:val="en-US" w:eastAsia="zh-CN"/>
        </w:rPr>
      </w:pPr>
    </w:p>
    <w:p w14:paraId="3466CD10">
      <w:pPr>
        <w:pStyle w:val="20"/>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1"/>
        <w:tblW w:w="6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0"/>
        <w:gridCol w:w="3540"/>
        <w:gridCol w:w="1605"/>
        <w:gridCol w:w="1440"/>
        <w:gridCol w:w="1150"/>
      </w:tblGrid>
      <w:tr w14:paraId="4C11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373" w:type="pct"/>
            <w:noWrap w:val="0"/>
            <w:vAlign w:val="center"/>
          </w:tcPr>
          <w:p w14:paraId="2F7E93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935" w:type="pct"/>
            <w:noWrap w:val="0"/>
            <w:vAlign w:val="center"/>
          </w:tcPr>
          <w:p w14:paraId="0CFFB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品名</w:t>
            </w:r>
          </w:p>
        </w:tc>
        <w:tc>
          <w:tcPr>
            <w:tcW w:w="1689" w:type="pct"/>
            <w:noWrap w:val="0"/>
            <w:vAlign w:val="center"/>
          </w:tcPr>
          <w:p w14:paraId="13398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规格</w:t>
            </w:r>
          </w:p>
        </w:tc>
        <w:tc>
          <w:tcPr>
            <w:tcW w:w="765" w:type="pct"/>
            <w:noWrap w:val="0"/>
            <w:vAlign w:val="center"/>
          </w:tcPr>
          <w:p w14:paraId="0D77FF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品牌</w:t>
            </w:r>
          </w:p>
        </w:tc>
        <w:tc>
          <w:tcPr>
            <w:tcW w:w="687" w:type="pct"/>
            <w:noWrap w:val="0"/>
            <w:vAlign w:val="center"/>
          </w:tcPr>
          <w:p w14:paraId="1F116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548" w:type="pct"/>
            <w:noWrap w:val="0"/>
            <w:vAlign w:val="center"/>
          </w:tcPr>
          <w:p w14:paraId="686907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单价/元</w:t>
            </w:r>
          </w:p>
        </w:tc>
      </w:tr>
      <w:tr w14:paraId="29F4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1A2E1F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935" w:type="pct"/>
            <w:noWrap w:val="0"/>
            <w:vAlign w:val="center"/>
          </w:tcPr>
          <w:p w14:paraId="65DEABE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340A837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01DD5300">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622FE42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0D9054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4981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CB6198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935" w:type="pct"/>
            <w:noWrap w:val="0"/>
            <w:vAlign w:val="center"/>
          </w:tcPr>
          <w:p w14:paraId="68B0FE3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21042AF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06496932">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70996B9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3A2A9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306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135EF93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35" w:type="pct"/>
            <w:noWrap w:val="0"/>
            <w:vAlign w:val="center"/>
          </w:tcPr>
          <w:p w14:paraId="61F3788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4D15114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51642B31">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687" w:type="pct"/>
            <w:noWrap w:val="0"/>
            <w:vAlign w:val="center"/>
          </w:tcPr>
          <w:p w14:paraId="436C03D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C4C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1D4D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530EBBE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35" w:type="pct"/>
            <w:noWrap w:val="0"/>
            <w:vAlign w:val="center"/>
          </w:tcPr>
          <w:p w14:paraId="5D5A64E1">
            <w:pPr>
              <w:keepNext w:val="0"/>
              <w:keepLines w:val="0"/>
              <w:widowControl/>
              <w:suppressLineNumbers w:val="0"/>
              <w:jc w:val="center"/>
              <w:textAlignment w:val="center"/>
              <w:rPr>
                <w:rFonts w:hint="eastAsia" w:ascii="宋体" w:hAnsi="宋体" w:eastAsia="宋体" w:cs="宋体"/>
                <w:spacing w:val="-12"/>
                <w:kern w:val="2"/>
                <w:sz w:val="24"/>
                <w:szCs w:val="24"/>
                <w:lang w:val="en-US" w:eastAsia="zh-CN" w:bidi="ar-SA"/>
              </w:rPr>
            </w:pPr>
          </w:p>
        </w:tc>
        <w:tc>
          <w:tcPr>
            <w:tcW w:w="1689" w:type="pct"/>
            <w:noWrap w:val="0"/>
            <w:vAlign w:val="center"/>
          </w:tcPr>
          <w:p w14:paraId="5AC2661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49B05AC2">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6D2443A8">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311716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6CAA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766E025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935" w:type="pct"/>
            <w:noWrap w:val="0"/>
            <w:vAlign w:val="center"/>
          </w:tcPr>
          <w:p w14:paraId="19E6825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765E1407">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5DA4BF5E">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5EAA158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1F513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7210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69E565C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35" w:type="pct"/>
            <w:noWrap w:val="0"/>
            <w:vAlign w:val="center"/>
          </w:tcPr>
          <w:p w14:paraId="3BB8D2FB">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1845358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6FE30FB5">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095C990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B25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2F2E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5A17DD9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35" w:type="pct"/>
            <w:noWrap w:val="0"/>
            <w:vAlign w:val="center"/>
          </w:tcPr>
          <w:p w14:paraId="3215FD60">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5070016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2C231249">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06EBD86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501121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0225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65B518C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935" w:type="pct"/>
            <w:noWrap w:val="0"/>
            <w:vAlign w:val="center"/>
          </w:tcPr>
          <w:p w14:paraId="496D115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28E212B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2E796AF4">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33BC442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78BC71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0143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78B52693">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935" w:type="pct"/>
            <w:noWrap w:val="0"/>
            <w:vAlign w:val="center"/>
          </w:tcPr>
          <w:p w14:paraId="28192BB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36EB258F">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37C42CD1">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1626BCF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137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40BB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71198A3">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35" w:type="pct"/>
            <w:noWrap w:val="0"/>
            <w:vAlign w:val="center"/>
          </w:tcPr>
          <w:p w14:paraId="79D1A56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56441DA4">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12F1CC65">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7F5C117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023723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52E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451" w:type="pct"/>
            <w:gridSpan w:val="5"/>
            <w:noWrap w:val="0"/>
            <w:vAlign w:val="center"/>
          </w:tcPr>
          <w:p w14:paraId="51983C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合计</w:t>
            </w:r>
          </w:p>
        </w:tc>
        <w:tc>
          <w:tcPr>
            <w:tcW w:w="548" w:type="pct"/>
            <w:noWrap w:val="0"/>
            <w:vAlign w:val="center"/>
          </w:tcPr>
          <w:p w14:paraId="5BCBF5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43DA45B">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557C318E">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秦都院区外网无线网络覆盖项目；</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SZRFYZB202412-232</w:t>
      </w:r>
    </w:p>
    <w:tbl>
      <w:tblPr>
        <w:tblStyle w:val="21"/>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26887"/>
      <w:bookmarkStart w:id="14" w:name="_Toc194663924"/>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9019236"/>
      <w:bookmarkStart w:id="17" w:name="_Toc194663925"/>
      <w:bookmarkStart w:id="18" w:name="_Toc47418731"/>
      <w:bookmarkStart w:id="19" w:name="_Toc47261885"/>
      <w:bookmarkStart w:id="20" w:name="_Toc48791235"/>
      <w:bookmarkStart w:id="21" w:name="_Toc193126888"/>
      <w:bookmarkStart w:id="22" w:name="_Toc47262069"/>
      <w:bookmarkStart w:id="23" w:name="_Toc48995851"/>
      <w:bookmarkStart w:id="24" w:name="_Toc47261690"/>
      <w:bookmarkStart w:id="25" w:name="_Toc193187104"/>
      <w:bookmarkStart w:id="26" w:name="_Toc188808839"/>
      <w:bookmarkStart w:id="27" w:name="_Toc47418255"/>
      <w:bookmarkStart w:id="28" w:name="_Toc49019497"/>
      <w:bookmarkStart w:id="29" w:name="_Toc47418938"/>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A7B65D">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20"/>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1385BD0">
      <w:pPr>
        <w:pStyle w:val="7"/>
        <w:rPr>
          <w:rFonts w:hint="eastAsia"/>
        </w:rPr>
      </w:pPr>
    </w:p>
    <w:p w14:paraId="68A66FF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9DFFF27">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8044"/>
      <w:bookmarkStart w:id="32" w:name="_Toc12408"/>
      <w:bookmarkStart w:id="33" w:name="_Toc15591"/>
      <w:bookmarkStart w:id="34" w:name="_Toc19326"/>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7264"/>
      <w:bookmarkStart w:id="39" w:name="_Toc26876"/>
      <w:bookmarkStart w:id="40" w:name="_Toc15794"/>
      <w:bookmarkStart w:id="41" w:name="_Toc2556"/>
      <w:bookmarkStart w:id="42" w:name="_Toc4050"/>
      <w:bookmarkStart w:id="43" w:name="_Toc56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秦都院区外网无线网络覆盖项目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SZRFYZB202412-232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20"/>
        <w:rPr>
          <w:rFonts w:hint="eastAsia"/>
        </w:rPr>
      </w:pPr>
    </w:p>
    <w:bookmarkEnd w:id="37"/>
    <w:bookmarkEnd w:id="38"/>
    <w:bookmarkEnd w:id="39"/>
    <w:bookmarkEnd w:id="40"/>
    <w:bookmarkEnd w:id="41"/>
    <w:bookmarkEnd w:id="42"/>
    <w:bookmarkEnd w:id="43"/>
    <w:p w14:paraId="509F6D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1763215A">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秦都院区外网无线网络覆盖项目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SZRFYZB202412-232</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9"/>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9"/>
        <w:rPr>
          <w:rFonts w:hint="eastAsia" w:ascii="宋体" w:hAnsi="宋体" w:eastAsia="宋体" w:cs="宋体"/>
          <w:color w:val="000000" w:themeColor="text1"/>
          <w:sz w:val="24"/>
          <w:szCs w:val="24"/>
          <w:highlight w:val="none"/>
          <w14:textFill>
            <w14:solidFill>
              <w14:schemeClr w14:val="tx1"/>
            </w14:solidFill>
          </w14:textFill>
        </w:rPr>
      </w:pPr>
    </w:p>
    <w:p w14:paraId="22ADB9BB">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F93137F">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007"/>
      <w:bookmarkStart w:id="48" w:name="_Toc12264"/>
      <w:bookmarkStart w:id="49" w:name="_Toc14564"/>
      <w:bookmarkStart w:id="50" w:name="_Toc25983"/>
      <w:bookmarkStart w:id="51" w:name="_Toc15773"/>
      <w:bookmarkStart w:id="52" w:name="_Toc13090"/>
      <w:bookmarkStart w:id="53" w:name="_Toc23076"/>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21260"/>
      <w:bookmarkStart w:id="56" w:name="_Toc10651"/>
      <w:bookmarkStart w:id="57" w:name="_Toc22023"/>
      <w:bookmarkStart w:id="58" w:name="_Toc11275"/>
      <w:bookmarkStart w:id="59" w:name="_Toc15131"/>
      <w:bookmarkStart w:id="60"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209D870A">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秦都院区外网无线网络覆盖项目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SZRFYZB202412-232</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4C8BC2C6">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C3E240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4"/>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4"/>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5"/>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5"/>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秦都院区外网无线网络覆盖项目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秦都院区外网无线网络覆盖项目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B71E3F26"/>
    <w:multiLevelType w:val="multilevel"/>
    <w:tmpl w:val="B71E3F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abstractNum w:abstractNumId="3">
    <w:nsid w:val="25A3CC3A"/>
    <w:multiLevelType w:val="multilevel"/>
    <w:tmpl w:val="25A3C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BD967D"/>
    <w:multiLevelType w:val="multilevel"/>
    <w:tmpl w:val="3DBD96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AB2540"/>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7C22AFE"/>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6A4D02"/>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unhideWhenUsed/>
    <w:qFormat/>
    <w:uiPriority w:val="0"/>
    <w:pPr>
      <w:widowControl w:val="0"/>
      <w:jc w:val="both"/>
    </w:pPr>
    <w:rPr>
      <w:rFonts w:ascii="宋体" w:hAnsi="Courier New" w:eastAsia="宋体" w:cs="Times New Roman"/>
      <w:kern w:val="2"/>
      <w:sz w:val="21"/>
      <w:szCs w:val="21"/>
      <w:lang w:val="en-US" w:eastAsia="zh-CN" w:bidi="ar-SA"/>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qFormat/>
    <w:uiPriority w:val="0"/>
    <w:rPr>
      <w:b/>
      <w:bCs/>
    </w:rPr>
  </w:style>
  <w:style w:type="paragraph" w:styleId="19">
    <w:name w:val="Body Text First Indent"/>
    <w:basedOn w:val="9"/>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6"/>
    <w:qFormat/>
    <w:uiPriority w:val="99"/>
    <w:pPr>
      <w:jc w:val="left"/>
    </w:pPr>
  </w:style>
  <w:style w:type="paragraph" w:styleId="44">
    <w:name w:val="List Paragraph"/>
    <w:qFormat/>
    <w:uiPriority w:val="34"/>
    <w:pPr>
      <w:widowControl w:val="0"/>
      <w:spacing w:line="240" w:lineRule="auto"/>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40</Pages>
  <Words>10054</Words>
  <Characters>11659</Characters>
  <Paragraphs>503</Paragraphs>
  <TotalTime>4</TotalTime>
  <ScaleCrop>false</ScaleCrop>
  <LinksUpToDate>false</LinksUpToDate>
  <CharactersWithSpaces>11874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2025-01-21T06:12:23Z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AA74F86B370641A09EF28AFF93A4BADD_13</vt:lpwstr>
  </property>
  <property fmtid="{D5CDD505-2E9C-101B-9397-08002B2CF9AE}" pid="4" name="KSOTemplateDocerSaveRecord">
    <vt:lpwstr>eyJoZGlkIjoiNDlhNTk3M2EwMWRjYjU0YWZlOWE2NGFkMGM1MzI3OGEiLCJ1c2VySWQiOiIxMDE0MjEyNzExIn0=</vt:lpwstr>
  </property>
</Properties>
</file>